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49016246"/>
      <w:bookmarkEnd w:id="2"/>
      <w:bookmarkStart w:id="3" w:name="_Hlt450066087"/>
      <w:bookmarkEnd w:id="3"/>
      <w:bookmarkStart w:id="4" w:name="_Hlt450051172"/>
      <w:bookmarkEnd w:id="4"/>
      <w:bookmarkStart w:id="5" w:name="_Hlt450039480"/>
      <w:bookmarkEnd w:id="5"/>
      <w:bookmarkStart w:id="6" w:name="OLE_LINK111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                                    </w:t>
      </w:r>
      <w:bookmarkStart w:id="53" w:name="_GoBack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R4-2408351</w:t>
      </w:r>
      <w:bookmarkEnd w:id="53"/>
    </w:p>
    <w:p>
      <w:pPr>
        <w:pStyle w:val="15"/>
        <w:keepNext/>
        <w:keepLines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7" w:name="OLE_LINK6"/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On </w:t>
      </w:r>
      <w:bookmarkStart w:id="8" w:name="OLE_LINK10"/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R19 PC1.5 </w:t>
      </w:r>
      <w:r>
        <w:rPr>
          <w:rFonts w:hint="eastAsia" w:ascii="Arial" w:hAnsi="Arial"/>
          <w:b/>
          <w:sz w:val="24"/>
          <w:highlight w:val="none"/>
          <w:lang w:val="en-US" w:eastAsia="ja-JP"/>
        </w:rPr>
        <w:t>Intra-band contiguous and non-contiguous UL CA</w:t>
      </w:r>
      <w:bookmarkEnd w:id="7"/>
      <w:bookmarkEnd w:id="8"/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10.1.1.2.1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bookmarkStart w:id="9" w:name="OLE_LINK17"/>
      <w:bookmarkStart w:id="10" w:name="OLE_LINK25"/>
      <w:r>
        <w:rPr>
          <w:rFonts w:hint="eastAsia" w:cs="Times New Roman"/>
          <w:sz w:val="20"/>
          <w:szCs w:val="20"/>
          <w:lang w:val="en-US" w:eastAsia="zh-CN"/>
        </w:rPr>
        <w:t>In RAN #103 meeting, the new WID of UE RF enhancements for NR FR1/FR2 and EN-DC, Phase 4 was approved in [1], wherein the objectives related to TN high power UE for CA are listed as below:</w:t>
      </w:r>
    </w:p>
    <w:bookmarkEnd w:id="9"/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等线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b/>
                <w:kern w:val="0"/>
                <w:sz w:val="20"/>
                <w:lang w:val="en-GB" w:eastAsia="en-GB"/>
              </w:rPr>
              <w:t>High power UE (HPUE) for CA in terrestrial network (TN)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42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Specify the generic requirements of high power UE (HPUE)</w:t>
            </w: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 xml:space="preserve"> for NR uplink (UL) CA in FR1 and EN-DC with NR FR1 bands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84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Power class 1.5 (PC1.5) UE for NR TDD intra-band UL contiguous and non-contiguous CA with 2Tx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Specify the requirements for intra-band UL contiguous CA with or without UL-MIMO</w:t>
            </w:r>
          </w:p>
          <w:p>
            <w:pPr>
              <w:keepNext/>
              <w:keepLines/>
              <w:pageBreakBefore w:val="0"/>
              <w:widowControl w:val="0"/>
              <w:numPr>
                <w:ilvl w:val="3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68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bookmarkStart w:id="11" w:name="OLE_LINK5"/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 xml:space="preserve">Example band combinations: </w:t>
            </w:r>
          </w:p>
          <w:p>
            <w:pPr>
              <w:keepNext/>
              <w:keepLines/>
              <w:pageBreakBefore w:val="0"/>
              <w:widowControl w:val="0"/>
              <w:numPr>
                <w:ilvl w:val="4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210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 xml:space="preserve">CA_n41C, </w:t>
            </w:r>
            <w:bookmarkStart w:id="12" w:name="OLE_LINK22"/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CA_n78C, CA_n77C</w:t>
            </w:r>
            <w:bookmarkEnd w:id="12"/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, CA_n79C for intra-band uplink contiguous CA configurations</w:t>
            </w:r>
          </w:p>
          <w:bookmarkEnd w:id="11"/>
          <w:p>
            <w:pPr>
              <w:keepNext/>
              <w:keepLines/>
              <w:pageBreakBefore w:val="0"/>
              <w:widowControl w:val="0"/>
              <w:numPr>
                <w:ilvl w:val="3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68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Focus on the maximum output power (MOP), MPR/A-MPR requirements, SAR solution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Specify the requirements for intra-band UL non-contiguous CA without UL-MIMO</w:t>
            </w:r>
          </w:p>
          <w:p>
            <w:pPr>
              <w:keepNext/>
              <w:keepLines/>
              <w:pageBreakBefore w:val="0"/>
              <w:widowControl w:val="0"/>
              <w:numPr>
                <w:ilvl w:val="3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68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bookmarkStart w:id="13" w:name="OLE_LINK7"/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 xml:space="preserve">Example band combinations: </w:t>
            </w:r>
          </w:p>
          <w:p>
            <w:pPr>
              <w:keepNext/>
              <w:keepLines/>
              <w:pageBreakBefore w:val="0"/>
              <w:widowControl w:val="0"/>
              <w:numPr>
                <w:ilvl w:val="4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210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CA_n78(2A), CA_n77(2A) for intra-band uplink non-contiguous CA configurations</w:t>
            </w:r>
          </w:p>
          <w:bookmarkEnd w:id="13"/>
          <w:p>
            <w:pPr>
              <w:keepNext/>
              <w:keepLines/>
              <w:pageBreakBefore w:val="0"/>
              <w:widowControl w:val="0"/>
              <w:numPr>
                <w:ilvl w:val="3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68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Focus on the maximum output power (MOP), MPR/A-MPR requirements, SAR solution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NOTE: leave the other band combination specific requirements to the corresponding Rel-19 basket WIs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84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highlight w:val="none"/>
                <w:lang w:val="en-US" w:eastAsia="zh-CN" w:bidi="ar-SA"/>
              </w:rPr>
              <w:t>PC1.5 UE for two band NR inter-band uplink CA with 2Tx and/or 3Tx for handheld and FWA, and PC1.5 and PC2 for two band EN-DC with 2Tx and/or 3Tx for handheld and FWA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highlight w:val="none"/>
                <w:lang w:val="en-US" w:eastAsia="zh-CN" w:bidi="ar-SA"/>
              </w:rPr>
              <w:t>Focus on the SAR solution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highlight w:val="none"/>
                <w:lang w:val="en-US" w:eastAsia="zh-CN" w:bidi="ar-SA"/>
              </w:rPr>
              <w:t>Enable power class 2 (PC2) and PC1.5 of two band inter-band uplink CA and EN-DC with 3Tx for handheld UE</w:t>
            </w:r>
          </w:p>
          <w:p>
            <w:pPr>
              <w:keepNext/>
              <w:keepLines/>
              <w:pageBreakBefore w:val="0"/>
              <w:widowControl w:val="0"/>
              <w:numPr>
                <w:ilvl w:val="3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68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Identify and update the requirements if necessary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 xml:space="preserve">Only PC3 is considered for LTE FDD in EN-DC </w:t>
            </w:r>
          </w:p>
          <w:p>
            <w:pPr>
              <w:keepNext/>
              <w:keepLines/>
              <w:pageBreakBefore w:val="0"/>
              <w:widowControl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126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NOTE: leave the band combination specific requirements, e.g., MSD to the corresponding Rel-19 basket WIs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84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Investigate and if feasible, support increasing UE transmission power limit up to the sum of maximum output power per band for NR inter-band uplink CA and EN-DC HPUE with the different existing power classes which have already been specified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/>
              <w:ind w:left="840" w:hanging="420" w:firstLineChars="0"/>
              <w:jc w:val="left"/>
              <w:textAlignment w:val="auto"/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Introduce the signaling to support the above objectives, if needed.</w:t>
            </w:r>
          </w:p>
          <w:p>
            <w:pPr>
              <w:keepNext/>
              <w:keepLines/>
              <w:pageBreakBefore w:val="0"/>
              <w:widowControl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80"/>
              <w:ind w:left="84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2"/>
                <w:sz w:val="20"/>
                <w:szCs w:val="20"/>
                <w:lang w:val="en-US" w:eastAsia="zh-CN" w:bidi="ar-SA"/>
              </w:rPr>
              <w:t>Consider release independency, if needed</w:t>
            </w:r>
          </w:p>
        </w:tc>
      </w:tr>
    </w:tbl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It can be seen that there are three following topics: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1. PC1.5 for NR TDD intra-band UL CA (2Tx)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2. Handheld and/or FWA UE related HPUE band combination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3: I</w:t>
      </w:r>
      <w:r>
        <w:rPr>
          <w:rFonts w:ascii="Times New Roman" w:hAnsi="Times New Roman" w:eastAsia="等线" w:cs="Times New Roman"/>
          <w:kern w:val="2"/>
          <w:sz w:val="20"/>
          <w:szCs w:val="20"/>
          <w:lang w:val="en-US" w:eastAsia="zh-CN" w:bidi="ar-SA"/>
        </w:rPr>
        <w:t>ncreasing UE transmission power limit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snapToGrid w:val="0"/>
        <w:spacing w:before="137" w:beforeLines="50" w:after="120" w:afterLines="50"/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last meeting, some agreements/open issues are included in the WF[2].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bookmarkStart w:id="14" w:name="OLE_LINK15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sz w:val="20"/>
          <w:szCs w:val="20"/>
          <w:lang w:val="en-US" w:eastAsia="zh-CN"/>
        </w:rPr>
        <w:t xml:space="preserve">further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discussion</w:t>
      </w:r>
      <w:r>
        <w:rPr>
          <w:rFonts w:hint="default" w:cs="Times New Roman"/>
          <w:sz w:val="20"/>
          <w:szCs w:val="20"/>
          <w:lang w:val="en-US" w:eastAsia="zh-CN"/>
        </w:rPr>
        <w:t>s</w:t>
      </w:r>
      <w:bookmarkStart w:id="15" w:name="OLE_LINK37"/>
      <w:r>
        <w:rPr>
          <w:rFonts w:hint="default" w:cs="Times New Roman"/>
          <w:sz w:val="20"/>
          <w:szCs w:val="20"/>
          <w:lang w:val="en-US" w:eastAsia="zh-CN"/>
        </w:rPr>
        <w:t xml:space="preserve"> on </w:t>
      </w:r>
      <w:bookmarkEnd w:id="15"/>
      <w:bookmarkStart w:id="16" w:name="OLE_LINK12"/>
      <w:r>
        <w:rPr>
          <w:rFonts w:hint="eastAsia" w:cs="Times New Roman"/>
          <w:sz w:val="20"/>
          <w:szCs w:val="20"/>
          <w:lang w:val="en-US" w:eastAsia="zh-CN"/>
        </w:rPr>
        <w:t xml:space="preserve">PC1.5 </w:t>
      </w:r>
      <w:r>
        <w:rPr>
          <w:rFonts w:hint="eastAsia" w:cs="Times New Roman"/>
          <w:sz w:val="20"/>
          <w:szCs w:val="20"/>
          <w:lang w:val="en-US" w:eastAsia="ja-JP"/>
        </w:rPr>
        <w:t>Intra-band contiguous and non-contiguous UL CA</w:t>
      </w:r>
      <w:r>
        <w:rPr>
          <w:rFonts w:hint="eastAsia" w:cs="Times New Roman"/>
          <w:sz w:val="20"/>
          <w:szCs w:val="20"/>
          <w:lang w:val="en-US" w:eastAsia="zh-CN"/>
        </w:rPr>
        <w:t>.</w:t>
      </w:r>
      <w:r>
        <w:rPr>
          <w:rFonts w:hint="default" w:cs="Times New Roman"/>
          <w:sz w:val="20"/>
          <w:szCs w:val="20"/>
          <w:lang w:val="en-US" w:eastAsia="zh-CN"/>
        </w:rPr>
        <w:t xml:space="preserve"> </w:t>
      </w:r>
      <w:bookmarkEnd w:id="14"/>
      <w:bookmarkEnd w:id="16"/>
    </w:p>
    <w:bookmarkEnd w:id="10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</w:pPr>
      <w:bookmarkStart w:id="17" w:name="OLE_LINK11"/>
      <w:bookmarkStart w:id="18" w:name="OLE_LINK66"/>
      <w:bookmarkStart w:id="19" w:name="OLE_LINK28"/>
      <w:bookmarkStart w:id="20" w:name="OLE_LINK23"/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The agreements related to 2Tx PC1.5 for NR TDD intra-band UL contiguous and non-contiguous CA in the WF[2] are extracted in the following for convenience.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Bdr>
                <w:top w:val="single" w:color="auto" w:sz="12" w:space="3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hAnsi="Arial" w:eastAsia="Times New Roman" w:cs="Times New Roman"/>
                <w:sz w:val="36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36"/>
                <w:lang w:val="en-GB" w:eastAsia="en-GB" w:bidi="ar-SA"/>
              </w:rPr>
              <w:t>General aspect</w:t>
            </w:r>
          </w:p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 xml:space="preserve">1.1 New proposed BC configurations for intra-band CA which are not included in the WI objectives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等线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>Agreement based online and further clarification in AH meeting: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420" w:hanging="420"/>
              <w:jc w:val="left"/>
              <w:textAlignment w:val="baseline"/>
              <w:rPr>
                <w:rFonts w:ascii="Times New Roman" w:hAnsi="Times New Roman" w:eastAsia="宋体" w:cs="Times New Roman"/>
                <w:strike/>
                <w:kern w:val="0"/>
                <w:sz w:val="20"/>
                <w:szCs w:val="24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US" w:eastAsia="zh-CN"/>
              </w:rPr>
              <w:t>For the lower order power class cases (PC2 and PC3) of same PC1.5 band combination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strike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H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a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ve the Rel-19 basket WIs to cover the necessary requirements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126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FFS on 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whether to have independent basket WIs to cover the requirements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 in RAN plenary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42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For the new UL intra-band CA 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configurations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 for PC1.5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Have the Rel-19 basket WIs to cover the necessary requirements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126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FFS on 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whether to have independent basket WIs to cover the requirements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 xml:space="preserve"> in RAN plenary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ind w:left="840" w:hanging="42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highlight w:val="none"/>
                <w:lang w:val="en-US" w:eastAsia="zh-CN"/>
              </w:rPr>
              <w:t>Discuss the requirements for those new UL intra-band CA configurations for PC1.5 after the general requirements are finalized in this WI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lang w:val="en-US" w:eastAsia="zh-CN" w:bidi="ar-SA"/>
              </w:rPr>
            </w:pPr>
          </w:p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>1.2 SAR solution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36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 xml:space="preserve">Way forward: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36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  <w:t>FFS on following options SAR solution with consideration the P-MPR is applicable.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Option 1: Duty-cycle solution is not considered for any HPUE scenarios in this WI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-  Option 2：Duty-cycle solution is considered for all HPUE scenarios in this WI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等线" w:cs="Times New Roman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-  Option 3：Duty-cycle solution is considered for all HPUE scenarios in this WI except for “</w:t>
            </w:r>
            <w:r>
              <w:rPr>
                <w:rFonts w:ascii="Times New Roman" w:hAnsi="Times New Roman" w:eastAsia="Times New Roman" w:cs="Times New Roman"/>
                <w:lang w:val="en-GB" w:eastAsia="en-GB" w:bidi="ar-SA"/>
              </w:rPr>
              <w:t>increasing UE transmission power limit</w:t>
            </w: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”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Option 4: Duty-cycle solution is considered for limited scenarios, further study which scenarios to consider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lang w:val="en-GB" w:eastAsia="zh-CN" w:bidi="ar-SA"/>
              </w:rPr>
            </w:pPr>
          </w:p>
          <w:p>
            <w:pPr>
              <w:keepNext/>
              <w:keepLines/>
              <w:pBdr>
                <w:top w:val="single" w:color="auto" w:sz="12" w:space="3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hAnsi="Arial" w:eastAsia="Times New Roman" w:cs="Times New Roman"/>
                <w:sz w:val="36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36"/>
                <w:lang w:val="en-GB" w:eastAsia="en-GB" w:bidi="ar-SA"/>
              </w:rPr>
              <w:t xml:space="preserve"> 2. PC1.5 for intra-band contiguous and non-contiguous UL CA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i/>
                <w:color w:val="4472C4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i/>
                <w:color w:val="4472C4"/>
                <w:kern w:val="0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 w:eastAsia="Times New Roman" w:cs="Times New Roman"/>
                <w:i/>
                <w:color w:val="4472C4"/>
                <w:kern w:val="0"/>
                <w:sz w:val="20"/>
                <w:lang w:val="en-US" w:eastAsia="zh-CN"/>
              </w:rPr>
              <w:t>OTE 1: Intra-band contiguous UL CA includes cases with and without UL MIMO, Intra-band non-contiguous UL CA includes only w/o UL MIMO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等线" w:cs="Times New Roman"/>
                <w:i/>
                <w:color w:val="4472C4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i/>
                <w:color w:val="4472C4"/>
                <w:kern w:val="0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 w:eastAsia="Times New Roman" w:cs="Times New Roman"/>
                <w:i/>
                <w:color w:val="4472C4"/>
                <w:kern w:val="0"/>
                <w:sz w:val="20"/>
                <w:lang w:val="en-US" w:eastAsia="zh-CN"/>
              </w:rPr>
              <w:t>OTE 2: Unless otherwise stated, the issues discussed below are applicable for both contiguous and non-contiguous CA</w:t>
            </w:r>
          </w:p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 xml:space="preserve">2.1 Assumed UE architectures for MPR/A-MPR evaluation </w:t>
            </w:r>
          </w:p>
          <w:p>
            <w:pPr>
              <w:overflowPunct/>
              <w:autoSpaceDE/>
              <w:autoSpaceDN/>
              <w:adjustRightInd/>
              <w:spacing w:beforeLines="-2147483648" w:after="120" w:afterLines="-2147483648" w:line="240" w:lineRule="auto"/>
              <w:ind w:firstLine="200" w:firstLineChars="100"/>
              <w:jc w:val="both"/>
              <w:textAlignment w:val="auto"/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  <w:t>-  Option 1: (Xiaomi, Samsung, Huawei)</w:t>
            </w:r>
          </w:p>
          <w:tbl>
            <w:tblPr>
              <w:tblStyle w:val="2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95"/>
              <w:gridCol w:w="2080"/>
              <w:gridCol w:w="1952"/>
              <w:gridCol w:w="1184"/>
              <w:gridCol w:w="1358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Architecture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Description</w:t>
                  </w:r>
                </w:p>
              </w:tc>
              <w:tc>
                <w:tcPr>
                  <w:tcW w:w="1984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Indicated capability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Support UL MIMO</w:t>
                  </w:r>
                </w:p>
              </w:tc>
              <w:tc>
                <w:tcPr>
                  <w:tcW w:w="141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A</w:t>
                  </w: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pplicable cases</w:t>
                  </w:r>
                </w:p>
              </w:tc>
              <w:tc>
                <w:tcPr>
                  <w:tcW w:w="195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N</w:t>
                  </w: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#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2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x26 dBm PA + 2 LO with 100MHz BW</w:t>
                  </w:r>
                </w:p>
              </w:tc>
              <w:tc>
                <w:tcPr>
                  <w:tcW w:w="1984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  <w:t>dualPA-Architecture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C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/NC CA</w:t>
                  </w:r>
                </w:p>
              </w:tc>
              <w:tc>
                <w:tcPr>
                  <w:tcW w:w="195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N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o Frequency Separation limitation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#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2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x26 dBm PA + 1 LO with 200MHz BW</w:t>
                  </w:r>
                </w:p>
              </w:tc>
              <w:tc>
                <w:tcPr>
                  <w:tcW w:w="1984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  <w:t>TxD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Y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es</w:t>
                  </w:r>
                </w:p>
              </w:tc>
              <w:tc>
                <w:tcPr>
                  <w:tcW w:w="141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C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/NC CA</w:t>
                  </w:r>
                </w:p>
              </w:tc>
              <w:tc>
                <w:tcPr>
                  <w:tcW w:w="195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Frequency Separation ≤ 200MHz</w:t>
                  </w:r>
                </w:p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For NC CA, FFS whether BW Gap size＜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C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C1 +CC2 CBW</w:t>
                  </w: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120" w:beforeLines="50" w:after="120" w:afterLines="-2147483648" w:line="240" w:lineRule="auto"/>
              <w:ind w:left="1285" w:firstLine="419" w:firstLineChars="233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24"/>
                <w:lang w:val="en-GB" w:eastAsia="zh-CN"/>
              </w:rPr>
              <w:t>NOTE: support UL MIMO here doesn’t mean UE has to support the feature, it depends on UE capability reporting</w:t>
            </w:r>
          </w:p>
          <w:p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560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bookmarkStart w:id="21" w:name="OLE_LINK21"/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Option 2: (Apple, vivo, Skyworks, Meta)</w:t>
            </w:r>
          </w:p>
          <w:tbl>
            <w:tblPr>
              <w:tblStyle w:val="2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95"/>
              <w:gridCol w:w="2080"/>
              <w:gridCol w:w="1952"/>
              <w:gridCol w:w="1184"/>
              <w:gridCol w:w="1358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Architecture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Description</w:t>
                  </w:r>
                </w:p>
              </w:tc>
              <w:tc>
                <w:tcPr>
                  <w:tcW w:w="1984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Indicated capability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Support UL MIMO</w:t>
                  </w:r>
                </w:p>
              </w:tc>
              <w:tc>
                <w:tcPr>
                  <w:tcW w:w="141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Applicable cases</w:t>
                  </w:r>
                </w:p>
              </w:tc>
              <w:tc>
                <w:tcPr>
                  <w:tcW w:w="195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N</w:t>
                  </w:r>
                  <w:r>
                    <w:rPr>
                      <w:rFonts w:ascii="Arial" w:hAnsi="Arial" w:eastAsia="宋体" w:cs="Arial"/>
                      <w:b/>
                      <w:kern w:val="0"/>
                      <w:sz w:val="20"/>
                      <w:lang w:val="en-GB" w:eastAsia="zh-CN"/>
                    </w:rPr>
                    <w:t>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bookmarkStart w:id="22" w:name="OLE_LINK9" w:colFirst="1" w:colLast="4"/>
                  <w:bookmarkStart w:id="23" w:name="OLE_LINK8" w:colFirst="1" w:colLast="1"/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#1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2x26 dBm PA + 2 LO with 100MHz BW</w:t>
                  </w:r>
                </w:p>
              </w:tc>
              <w:tc>
                <w:tcPr>
                  <w:tcW w:w="1984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  <w:t>dualPA-Architecture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NC CA</w:t>
                  </w:r>
                </w:p>
              </w:tc>
              <w:tc>
                <w:tcPr>
                  <w:tcW w:w="195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N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o Frequency Separation limitation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#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2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x26 dBm PA + 1 LO with 200MHz BW</w:t>
                  </w:r>
                </w:p>
              </w:tc>
              <w:tc>
                <w:tcPr>
                  <w:tcW w:w="1984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i/>
                      <w:kern w:val="0"/>
                      <w:sz w:val="20"/>
                      <w:lang w:val="en-GB" w:eastAsia="zh-CN"/>
                    </w:rPr>
                    <w:t>TxD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Y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es</w:t>
                  </w:r>
                </w:p>
              </w:tc>
              <w:tc>
                <w:tcPr>
                  <w:tcW w:w="141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C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  <w:t>ontiguous CA</w:t>
                  </w:r>
                </w:p>
              </w:tc>
              <w:tc>
                <w:tcPr>
                  <w:tcW w:w="1957" w:type="dxa"/>
                </w:tcPr>
                <w:p>
                  <w:pPr>
                    <w:overflowPunct/>
                    <w:autoSpaceDE/>
                    <w:autoSpaceDN/>
                    <w:adjustRightInd/>
                    <w:spacing w:beforeLines="-2147483648" w:after="0" w:afterLines="-2147483648" w:line="240" w:lineRule="auto"/>
                    <w:jc w:val="center"/>
                    <w:textAlignment w:val="auto"/>
                    <w:rPr>
                      <w:rFonts w:ascii="Times New Roman" w:hAnsi="Times New Roman" w:eastAsia="宋体" w:cs="Times New Roman"/>
                      <w:bCs/>
                      <w:kern w:val="0"/>
                      <w:sz w:val="20"/>
                      <w:lang w:val="en-GB" w:eastAsia="zh-CN"/>
                    </w:rPr>
                  </w:pPr>
                </w:p>
              </w:tc>
            </w:tr>
            <w:bookmarkEnd w:id="21"/>
            <w:bookmarkEnd w:id="22"/>
            <w:bookmarkEnd w:id="23"/>
          </w:tbl>
          <w:p>
            <w:pPr>
              <w:overflowPunct/>
              <w:autoSpaceDE/>
              <w:autoSpaceDN/>
              <w:adjustRightInd/>
              <w:spacing w:beforeLines="-2147483648" w:after="120" w:afterLines="-2147483648" w:line="240" w:lineRule="auto"/>
              <w:jc w:val="left"/>
              <w:textAlignment w:val="auto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4"/>
                <w:lang w:val="en-GB" w:eastAsia="zh-CN"/>
              </w:rPr>
            </w:pPr>
          </w:p>
          <w:p>
            <w:pPr>
              <w:overflowPunct/>
              <w:autoSpaceDE/>
              <w:autoSpaceDN/>
              <w:adjustRightInd/>
              <w:spacing w:beforeLines="-2147483648" w:after="120" w:afterLines="-2147483648" w:line="240" w:lineRule="auto"/>
              <w:jc w:val="left"/>
              <w:textAlignment w:val="auto"/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szCs w:val="20"/>
                <w:lang w:val="en-GB" w:eastAsia="zh-CN"/>
              </w:rPr>
              <w:t>Way forward:</w:t>
            </w:r>
            <w:r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0"/>
                <w:lang w:val="en-GB" w:eastAsia="zh-CN"/>
              </w:rPr>
              <w:t xml:space="preserve"> </w:t>
            </w:r>
          </w:p>
          <w:p>
            <w:pPr>
              <w:overflowPunct/>
              <w:autoSpaceDE/>
              <w:autoSpaceDN/>
              <w:adjustRightInd/>
              <w:spacing w:beforeLines="-2147483648" w:after="120" w:afterLines="-2147483648" w:line="240" w:lineRule="auto"/>
              <w:jc w:val="left"/>
              <w:textAlignment w:val="auto"/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0"/>
                <w:lang w:val="en-GB" w:eastAsia="zh-CN"/>
              </w:rPr>
              <w:t>Both options are considered for next meeting discussion, FFS on down selection of UE architectures</w:t>
            </w:r>
          </w:p>
          <w:p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ind w:left="420" w:hanging="420" w:firstLineChars="0"/>
              <w:textAlignment w:val="auto"/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>P</w:t>
            </w:r>
            <w:r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>rioritize UL contiguous CA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等线" w:cs="Times New Roman"/>
                <w:lang w:val="en-GB" w:eastAsia="zh-CN" w:bidi="ar-SA"/>
              </w:rPr>
            </w:pPr>
          </w:p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>2.2 General consideration for MPR/P</w:t>
            </w:r>
            <w:r>
              <w:rPr>
                <w:rFonts w:ascii="Arial" w:hAnsi="Arial" w:eastAsia="Times New Roman" w:cs="Times New Roman"/>
                <w:sz w:val="24"/>
                <w:vertAlign w:val="subscript"/>
                <w:lang w:val="en-GB" w:eastAsia="en-GB" w:bidi="ar-SA"/>
              </w:rPr>
              <w:t>CMAX</w:t>
            </w: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>/P</w:t>
            </w:r>
            <w:r>
              <w:rPr>
                <w:rFonts w:ascii="Arial" w:hAnsi="Arial" w:eastAsia="Times New Roman" w:cs="Times New Roman"/>
                <w:sz w:val="24"/>
                <w:vertAlign w:val="subscript"/>
                <w:lang w:val="en-GB" w:eastAsia="en-GB" w:bidi="ar-SA"/>
              </w:rPr>
              <w:t xml:space="preserve">CMAX,c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36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 xml:space="preserve">Way forward: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ab/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For PC1.5, intra-band contiguous ULCA with UL MIMO can share the MPR requirements of intra-band contiguous ULCA without UL MIMO and with dual Tx (TxD)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>-</w:t>
            </w:r>
            <w:r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 xml:space="preserve">  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Study and if necessary, specify the MPR requirements for both small and large form factor UEs, i.e. minimum antenna isolation = 10 or 20dB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  <w:lang w:val="en-GB" w:eastAsia="zh-CN" w:bidi="ar-SA"/>
              </w:rPr>
              <w:t xml:space="preserve">- 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For R19 PC1.5 intra-band non-contiguous /contiguous ULCA with two 26dBm PAs and one PA per CC, consider P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bscript"/>
                <w:lang w:val="en-GB" w:eastAsia="zh-CN" w:bidi="ar-SA"/>
              </w:rPr>
              <w:t>CMAX,,c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limitation (i.e., 26dBm) for each component carrier, which have impact on MOP, P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bscript"/>
                <w:lang w:val="en-GB" w:eastAsia="zh-CN" w:bidi="ar-SA"/>
              </w:rPr>
              <w:t>CMAX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tolerance and MPR/A-MPR evaluation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-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 FFS For R19 PC1.5 intra-band non-contiguous /contiguous ULCA with two 26dBm PAs and one PA per CC, the P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bscript"/>
                <w:lang w:val="en-GB" w:eastAsia="zh-CN" w:bidi="ar-SA"/>
              </w:rPr>
              <w:t>CMAX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is modified as follows to account for RB BW imbalances </w:t>
            </w:r>
          </w:p>
          <w:p>
            <w:pPr>
              <w:overflowPunct/>
              <w:autoSpaceDE/>
              <w:autoSpaceDN/>
              <w:adjustRightInd/>
              <w:spacing w:beforeLines="-2147483648" w:after="120" w:afterLines="-2147483648" w:line="240" w:lineRule="auto"/>
              <w:ind w:firstLine="1200" w:firstLineChars="600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val="en-GB" w:eastAsia="zh-CN"/>
              </w:rPr>
              <w:t>Cmax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zh-CN"/>
              </w:rPr>
              <w:t xml:space="preserve">=10*log(10^(26/10) + 10^((26-10*log(LCRB1*SCS1/(LCRB2*SCS2)))/10))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ab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GB" w:eastAsia="zh-CN" w:bidi="ar-SA"/>
              </w:rPr>
              <w:t>Other options are not precluded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eastAsia="等线" w:cs="Times New Roman"/>
                <w:lang w:val="en-GB" w:eastAsia="zh-CN" w:bidi="ar-SA"/>
              </w:rPr>
            </w:pPr>
          </w:p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>2.3 MOP tolerance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Times New Roman" w:cs="Times New Roman"/>
                <w:b/>
                <w:lang w:val="en-GB" w:eastAsia="zh-CN" w:bidi="ar-SA"/>
              </w:rPr>
              <w:t>Agreement</w:t>
            </w:r>
            <w:r>
              <w:rPr>
                <w:rFonts w:ascii="Times New Roman" w:hAnsi="Times New Roman" w:eastAsia="Times New Roman" w:cs="Times New Roman"/>
                <w:lang w:val="en-GB" w:eastAsia="zh-CN" w:bidi="ar-SA"/>
              </w:rPr>
              <w:t>:</w:t>
            </w: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 xml:space="preserve"> +2/-3 dB, in addition adding note into MOP table </w:t>
            </w:r>
            <w:r>
              <w:rPr>
                <w:rFonts w:hint="eastAsia" w:ascii="Times New Roman" w:hAnsi="Times New Roman" w:eastAsia="宋体" w:cs="Times New Roman"/>
                <w:szCs w:val="24"/>
                <w:lang w:val="en-GB" w:eastAsia="zh-CN" w:bidi="ar-SA"/>
              </w:rPr>
              <w:t>t</w:t>
            </w: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o reflect PC1.5 is achieved by</w:t>
            </w:r>
            <w:r>
              <w:rPr>
                <w:rFonts w:ascii="Times New Roman" w:hAnsi="Times New Roman" w:eastAsia="宋体" w:cs="Times New Roman"/>
                <w:bCs/>
                <w:i/>
                <w:lang w:val="en-GB" w:eastAsia="zh-CN" w:bidi="ar-SA"/>
              </w:rPr>
              <w:t xml:space="preserve"> dualPA-Architecture </w:t>
            </w:r>
            <w:r>
              <w:rPr>
                <w:rFonts w:ascii="Times New Roman" w:hAnsi="Times New Roman" w:eastAsia="宋体" w:cs="Times New Roman"/>
                <w:bCs/>
                <w:lang w:val="en-GB" w:eastAsia="zh-CN" w:bidi="ar-SA"/>
              </w:rPr>
              <w:t>and/or</w:t>
            </w:r>
            <w:r>
              <w:rPr>
                <w:rFonts w:ascii="Times New Roman" w:hAnsi="Times New Roman" w:eastAsia="宋体" w:cs="Times New Roman"/>
                <w:bCs/>
                <w:i/>
                <w:lang w:val="en-GB" w:eastAsia="zh-CN" w:bidi="ar-SA"/>
              </w:rPr>
              <w:t xml:space="preserve"> TxD</w:t>
            </w: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等线" w:cs="Times New Roman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</w:t>
            </w: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ab/>
            </w:r>
          </w:p>
          <w:p>
            <w:pPr>
              <w:keepNext/>
              <w:keepLines/>
              <w:numPr>
                <w:ilvl w:val="1"/>
                <w:numId w:val="11"/>
              </w:numPr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360" w:hanging="360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 xml:space="preserve"> P</w:t>
            </w:r>
            <w:r>
              <w:rPr>
                <w:rFonts w:ascii="Arial" w:hAnsi="Arial" w:eastAsia="Times New Roman" w:cs="Times New Roman"/>
                <w:sz w:val="24"/>
                <w:vertAlign w:val="subscript"/>
                <w:lang w:val="en-GB" w:eastAsia="en-GB" w:bidi="ar-SA"/>
              </w:rPr>
              <w:t>CMAX</w:t>
            </w:r>
            <w:bookmarkStart w:id="24" w:name="OLE_LINK91"/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 xml:space="preserve"> tolerance</w:t>
            </w:r>
            <w:bookmarkEnd w:id="24"/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 xml:space="preserve">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szCs w:val="20"/>
                <w:lang w:val="en-GB" w:eastAsia="zh-CN"/>
              </w:rPr>
              <w:t>Way forward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n-GB" w:eastAsia="zh-CN"/>
              </w:rPr>
              <w:t>: The following values as starting point</w:t>
            </w:r>
          </w:p>
          <w:p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560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T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bscript"/>
                <w:lang w:val="en-GB" w:eastAsia="zh-CN" w:bidi="ar-SA"/>
              </w:rPr>
              <w:t>LOW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=3dB</w:t>
            </w:r>
          </w:p>
          <w:p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left="560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T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bscript"/>
                <w:lang w:val="en-GB" w:eastAsia="zh-CN" w:bidi="ar-SA"/>
              </w:rPr>
              <w:t>HIGH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=2dB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等线" w:cs="Times New Roman"/>
                <w:lang w:val="en-GB" w:eastAsia="zh-CN" w:bidi="ar-SA"/>
              </w:rPr>
            </w:pPr>
          </w:p>
          <w:p>
            <w:pPr>
              <w:keepNext/>
              <w:keepLines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hAnsi="Arial" w:eastAsia="Times New Roman" w:cs="Times New Roman"/>
                <w:sz w:val="24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24"/>
                <w:lang w:val="en-GB" w:eastAsia="en-GB" w:bidi="ar-SA"/>
              </w:rPr>
              <w:t xml:space="preserve">2.5 ACLR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hint="eastAsia" w:cs="Times New Roman"/>
                <w:i w:val="0"/>
                <w:iCs w:val="0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0"/>
                <w:lang w:val="en-GB" w:eastAsia="zh-CN"/>
              </w:rPr>
              <w:t>Agreement</w:t>
            </w: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zh-CN"/>
              </w:rPr>
              <w:t xml:space="preserve">: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N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R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 xml:space="preserve">LCR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  <w:t>s 31dB, UTRA ALCR not needed for the example combos</w:t>
            </w:r>
          </w:p>
        </w:tc>
      </w:tr>
    </w:tbl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b w:val="0"/>
          <w:bCs w:val="0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It can be clearly seen that no </w:t>
      </w:r>
      <w:r>
        <w:rPr>
          <w:rFonts w:hint="eastAsia" w:eastAsia="宋体" w:cs="Times New Roman"/>
          <w:b w:val="0"/>
          <w:bCs w:val="0"/>
          <w:i w:val="0"/>
          <w:iCs w:val="0"/>
          <w:sz w:val="20"/>
          <w:szCs w:val="22"/>
          <w:highlight w:val="none"/>
          <w:lang w:val="en-US" w:eastAsia="zh-CN"/>
        </w:rPr>
        <w:t>Rx RF requirements are impacted</w:t>
      </w:r>
      <w:r>
        <w:rPr>
          <w:rFonts w:hint="eastAsia" w:cs="Times New Roman"/>
          <w:b w:val="0"/>
          <w:bCs w:val="0"/>
          <w:i w:val="0"/>
          <w:iCs w:val="0"/>
          <w:sz w:val="20"/>
          <w:szCs w:val="22"/>
          <w:highlight w:val="none"/>
          <w:lang w:val="en-US" w:eastAsia="zh-CN"/>
        </w:rPr>
        <w:t>.</w:t>
      </w:r>
      <w:bookmarkStart w:id="25" w:name="OLE_LINK20"/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u w:val="single"/>
          <w:lang w:val="en-US" w:eastAsia="zh-CN"/>
        </w:rPr>
        <w:t>MPR/A-MPR</w:t>
      </w:r>
    </w:p>
    <w:bookmarkEnd w:id="25"/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current specification, the MPR requirements for both </w:t>
      </w:r>
      <w:r>
        <w:rPr>
          <w:rFonts w:hint="default" w:cs="Times New Roman"/>
          <w:sz w:val="20"/>
          <w:szCs w:val="20"/>
          <w:lang w:val="en-US" w:eastAsia="zh-CN"/>
        </w:rPr>
        <w:t xml:space="preserve">UE indicating IE </w:t>
      </w:r>
      <w:r>
        <w:rPr>
          <w:rFonts w:hint="default" w:cs="Times New Roman"/>
          <w:i/>
          <w:iCs/>
          <w:sz w:val="20"/>
          <w:szCs w:val="20"/>
          <w:lang w:val="en-US" w:eastAsia="zh-CN"/>
        </w:rPr>
        <w:t>dualPA-Architecture</w:t>
      </w:r>
      <w:r>
        <w:rPr>
          <w:rFonts w:hint="eastAsia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cs="Times New Roman"/>
          <w:sz w:val="20"/>
          <w:szCs w:val="20"/>
          <w:lang w:val="en-US" w:eastAsia="zh-CN"/>
        </w:rPr>
        <w:t xml:space="preserve">UE </w:t>
      </w:r>
      <w:r>
        <w:rPr>
          <w:rFonts w:hint="eastAsia" w:cs="Times New Roman"/>
          <w:sz w:val="20"/>
          <w:szCs w:val="20"/>
          <w:lang w:val="en-US" w:eastAsia="zh-CN"/>
        </w:rPr>
        <w:t xml:space="preserve">not </w:t>
      </w:r>
      <w:r>
        <w:rPr>
          <w:rFonts w:hint="default" w:cs="Times New Roman"/>
          <w:sz w:val="20"/>
          <w:szCs w:val="20"/>
          <w:lang w:val="en-US" w:eastAsia="zh-CN"/>
        </w:rPr>
        <w:t xml:space="preserve">indicating IE </w:t>
      </w:r>
      <w:r>
        <w:rPr>
          <w:rFonts w:hint="default" w:cs="Times New Roman"/>
          <w:i/>
          <w:iCs/>
          <w:sz w:val="20"/>
          <w:szCs w:val="20"/>
          <w:lang w:val="en-US" w:eastAsia="zh-CN"/>
        </w:rPr>
        <w:t>dualPA-Architecture</w:t>
      </w:r>
      <w:r>
        <w:rPr>
          <w:rFonts w:hint="eastAsia" w:cs="Times New Roman"/>
          <w:sz w:val="20"/>
          <w:szCs w:val="20"/>
          <w:lang w:val="en-US" w:eastAsia="zh-CN"/>
        </w:rPr>
        <w:t xml:space="preserve"> are defined for PC2 and PC3 intra-band contiguous CA and </w:t>
      </w:r>
      <w:bookmarkStart w:id="26" w:name="OLE_LINK18"/>
      <w:r>
        <w:rPr>
          <w:rFonts w:hint="eastAsia" w:cs="Times New Roman"/>
          <w:sz w:val="20"/>
          <w:szCs w:val="20"/>
          <w:lang w:val="en-US" w:eastAsia="zh-CN"/>
        </w:rPr>
        <w:t>intra-band non-contiguous CA</w:t>
      </w:r>
      <w:bookmarkEnd w:id="26"/>
      <w:r>
        <w:rPr>
          <w:rFonts w:hint="eastAsia" w:cs="Times New Roman"/>
          <w:sz w:val="20"/>
          <w:szCs w:val="20"/>
          <w:lang w:val="en-US" w:eastAsia="zh-CN"/>
        </w:rPr>
        <w:t xml:space="preserve">. For PC2 </w:t>
      </w:r>
      <w:bookmarkStart w:id="27" w:name="OLE_LINK19"/>
      <w:r>
        <w:rPr>
          <w:rFonts w:hint="eastAsia" w:cs="Times New Roman"/>
          <w:sz w:val="20"/>
          <w:szCs w:val="20"/>
          <w:lang w:val="en-US" w:eastAsia="zh-CN"/>
        </w:rPr>
        <w:t>TDD intra-band CA</w:t>
      </w:r>
      <w:bookmarkEnd w:id="27"/>
      <w:r>
        <w:rPr>
          <w:rFonts w:hint="eastAsia" w:cs="Times New Roman"/>
          <w:sz w:val="20"/>
          <w:szCs w:val="20"/>
          <w:lang w:val="en-US" w:eastAsia="zh-CN"/>
        </w:rPr>
        <w:t>, there are already commercial 26dBm PAs in the market, which means there exists several architectures can be used for TDD intra-band CA, such as 1Tx with one 26dBm PA(200MHz, cc1+cc2), 2Tx with two 2*23dBm(100MHz per cc) or 2Tx with 23+26dBm(per cc) and so on.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/>
          <w:sz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However, for PC1.5 TDD intra-band CA band combination, 2PA (i.e. 2*26dBm) shall be used due to curretly there is no commercial 29dBm single PA, as mentioned by many companies in last meeting. Thus even for PC1.5 single carrier, 2*26dBm PA via TxD is the implementation. As discussed in company paper [4], PC1.5 single carirer via 2*26dBm must be supported for PC1.5 TDD intra-band C/NC CA, but meanwile it should also consider the </w:t>
      </w:r>
      <w:bookmarkStart w:id="28" w:name="OLE_LINK31"/>
      <w:r>
        <w:rPr>
          <w:rFonts w:eastAsia="Arial"/>
          <w:lang w:eastAsia="zh-CN"/>
        </w:rPr>
        <w:t>se</w:t>
      </w:r>
      <w:r>
        <w:rPr>
          <w:rFonts w:hint="eastAsia" w:eastAsia="宋体"/>
          <w:sz w:val="20"/>
          <w:lang w:eastAsia="zh-CN"/>
        </w:rPr>
        <w:t xml:space="preserve">paration BW and </w:t>
      </w:r>
      <w:r>
        <w:rPr>
          <w:rFonts w:hint="eastAsia" w:eastAsia="宋体"/>
          <w:sz w:val="20"/>
          <w:lang w:val="en-US" w:eastAsia="zh-CN"/>
        </w:rPr>
        <w:t xml:space="preserve">frequency </w:t>
      </w:r>
      <w:r>
        <w:rPr>
          <w:rFonts w:hint="eastAsia" w:eastAsia="宋体"/>
          <w:sz w:val="20"/>
          <w:lang w:eastAsia="zh-CN"/>
        </w:rPr>
        <w:t>gap</w:t>
      </w:r>
      <w:r>
        <w:rPr>
          <w:rFonts w:hint="eastAsia" w:eastAsia="宋体"/>
          <w:sz w:val="20"/>
          <w:lang w:val="en-US" w:eastAsia="zh-CN"/>
        </w:rPr>
        <w:t xml:space="preserve"> </w:t>
      </w:r>
      <w:r>
        <w:rPr>
          <w:rFonts w:hint="eastAsia"/>
          <w:sz w:val="20"/>
          <w:lang w:val="en-US" w:eastAsia="zh-CN"/>
        </w:rPr>
        <w:t>limitation</w:t>
      </w:r>
      <w:bookmarkEnd w:id="28"/>
      <w:r>
        <w:rPr>
          <w:rFonts w:hint="eastAsia"/>
          <w:sz w:val="20"/>
          <w:lang w:val="en-US" w:eastAsia="zh-CN"/>
        </w:rPr>
        <w:t xml:space="preserve"> for NC CA.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For PC1.5 intra-band C CA, due to the 29dBm must be achieved by 2*26dBm, and also power sharing between the two carriers should also be taken into account, it is suggested that only to consider the architecture of</w:t>
      </w:r>
      <w:bookmarkStart w:id="29" w:name="OLE_LINK30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2x26 dBm PA + </w:t>
      </w:r>
      <w:r>
        <w:rPr>
          <w:rFonts w:hint="eastAsia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 LO with </w:t>
      </w:r>
      <w:r>
        <w:rPr>
          <w:rFonts w:hint="eastAsia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00MHz BW</w:t>
      </w:r>
      <w:bookmarkEnd w:id="29"/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For PC1.5 intra-band NC CA. In our understanding, either </w:t>
      </w:r>
      <w:r>
        <w:rPr>
          <w:rFonts w:hint="default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2x26 dBm PA + </w:t>
      </w:r>
      <w:r>
        <w:rPr>
          <w:rFonts w:hint="eastAsia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 LO with </w:t>
      </w:r>
      <w:r>
        <w:rPr>
          <w:rFonts w:hint="eastAsia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00MHz BW</w:t>
      </w:r>
      <w:r>
        <w:rPr>
          <w:rFonts w:hint="default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 or </w:t>
      </w:r>
      <w:r>
        <w:rPr>
          <w:rFonts w:hint="eastAsia"/>
          <w:sz w:val="20"/>
          <w:lang w:val="en-US" w:eastAsia="zh-CN"/>
        </w:rPr>
        <w:t xml:space="preserve"> </w:t>
      </w:r>
      <w:bookmarkStart w:id="30" w:name="OLE_LINK32"/>
      <w:r>
        <w:rPr>
          <w:rFonts w:hint="default"/>
          <w:sz w:val="20"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2x26 dBm PA + 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LO with 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00MHz BW</w:t>
      </w:r>
      <w:r>
        <w:rPr>
          <w:rFonts w:hint="default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 </w:t>
      </w:r>
      <w:bookmarkEnd w:id="30"/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could be feasible. However, to consider more flexibility for the </w:t>
      </w:r>
      <w:r>
        <w:rPr>
          <w:rFonts w:eastAsia="Arial"/>
          <w:lang w:eastAsia="zh-CN"/>
        </w:rPr>
        <w:t>se</w:t>
      </w:r>
      <w:r>
        <w:rPr>
          <w:rFonts w:hint="eastAsia" w:eastAsia="宋体"/>
          <w:sz w:val="20"/>
          <w:lang w:eastAsia="zh-CN"/>
        </w:rPr>
        <w:t xml:space="preserve">paration BW and </w:t>
      </w:r>
      <w:r>
        <w:rPr>
          <w:rFonts w:hint="eastAsia" w:eastAsia="宋体"/>
          <w:sz w:val="20"/>
          <w:lang w:val="en-US" w:eastAsia="zh-CN"/>
        </w:rPr>
        <w:t xml:space="preserve">frequency </w:t>
      </w:r>
      <w:r>
        <w:rPr>
          <w:rFonts w:hint="eastAsia" w:eastAsia="宋体"/>
          <w:sz w:val="20"/>
          <w:lang w:eastAsia="zh-CN"/>
        </w:rPr>
        <w:t>gap</w:t>
      </w:r>
      <w:r>
        <w:rPr>
          <w:rFonts w:hint="eastAsia"/>
          <w:sz w:val="20"/>
          <w:lang w:val="en-US" w:eastAsia="zh-CN"/>
        </w:rPr>
        <w:t xml:space="preserve">, only consider </w:t>
      </w:r>
      <w:r>
        <w:rPr>
          <w:rFonts w:hint="default"/>
          <w:sz w:val="20"/>
          <w:lang w:val="en-US" w:eastAsia="zh-CN"/>
        </w:rPr>
        <w:t>‘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2x26 dBm PA + 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LO with 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00MHz BW</w:t>
      </w:r>
      <w:r>
        <w:rPr>
          <w:rFonts w:hint="default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i w:val="0"/>
          <w:iCs w:val="0"/>
          <w:kern w:val="2"/>
          <w:sz w:val="20"/>
          <w:lang w:val="en-US" w:eastAsia="zh-CN"/>
        </w:rPr>
        <w:t xml:space="preserve"> would be fine.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/>
        </w:rPr>
        <w:t>Proposal 1: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-To adopt </w:t>
      </w:r>
      <w:r>
        <w:rPr>
          <w:rFonts w:hint="default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‘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dualPA-Architecture</w:t>
      </w: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(</w:t>
      </w:r>
      <w:bookmarkStart w:id="31" w:name="OLE_LINK14"/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>2x26 dBm PA + 2 LO with 100MHz BW</w:t>
      </w:r>
      <w:bookmarkEnd w:id="31"/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)</w:t>
      </w:r>
      <w:r>
        <w:rPr>
          <w:rFonts w:hint="default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’</w:t>
      </w: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 </w:t>
      </w:r>
      <w:bookmarkStart w:id="32" w:name="OLE_LINK16"/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for PC1.5 intra-band NC CA</w:t>
      </w:r>
      <w:bookmarkEnd w:id="32"/>
    </w:p>
    <w:p>
      <w:pPr>
        <w:keepNext w:val="0"/>
        <w:keepLines w:val="0"/>
        <w:widowControl/>
        <w:suppressLineNumbers w:val="0"/>
        <w:jc w:val="left"/>
        <w:rPr>
          <w:rFonts w:hint="default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</w:pPr>
      <w:bookmarkStart w:id="33" w:name="OLE_LINK26"/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-To adopt </w:t>
      </w:r>
      <w:r>
        <w:rPr>
          <w:rFonts w:hint="default" w:eastAsia="等线" w:cs="Times New Roman"/>
          <w:b/>
          <w:bCs/>
          <w:i/>
          <w:iCs/>
          <w:kern w:val="2"/>
          <w:sz w:val="20"/>
          <w:lang w:val="en-US" w:eastAsia="zh-CN"/>
        </w:rPr>
        <w:t>‘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2x26 dBm PA + </w:t>
      </w: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 LO with </w:t>
      </w: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>00MHz BW</w:t>
      </w:r>
      <w:r>
        <w:rPr>
          <w:rFonts w:hint="default" w:eastAsia="等线" w:cs="Times New Roman"/>
          <w:b/>
          <w:bCs/>
          <w:i/>
          <w:iCs/>
          <w:kern w:val="2"/>
          <w:sz w:val="20"/>
          <w:lang w:val="en-US" w:eastAsia="zh-CN"/>
        </w:rPr>
        <w:t>’</w:t>
      </w: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 </w:t>
      </w:r>
      <w:bookmarkEnd w:id="33"/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for PC1.5 intra-band C CA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sz w:val="20"/>
          <w:lang w:val="en-US"/>
        </w:rPr>
      </w:pPr>
      <w:r>
        <w:rPr>
          <w:rFonts w:hint="eastAsia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For A-MPR, </w:t>
      </w:r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it is related to the additional emission mask requirements, signalled by </w:t>
      </w:r>
      <w:bookmarkStart w:id="34" w:name="OLE_LINK24"/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>CA_NS_XX</w:t>
      </w:r>
      <w:bookmarkEnd w:id="34"/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for intra-band contiguous CA and CA_NC_NS_XX for intra-band non-contiguous CA. In current spec, </w:t>
      </w:r>
      <w:bookmarkStart w:id="35" w:name="OLE_LINK42"/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CA_NS_04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 and CA_NC_NS_04 are used to for PC2/PC3 n41C and n41(2A)</w:t>
      </w:r>
      <w:bookmarkEnd w:id="35"/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, respectively. In addition,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CA_NC_NS_55/57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 are used for CA_n77(2A) for different frequency range associated with </w:t>
      </w:r>
      <w:bookmarkStart w:id="36" w:name="OLE_LINK47"/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CA_NC_NS_01</w:t>
      </w:r>
      <w:bookmarkEnd w:id="36"/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, but there are no </w:t>
      </w:r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CA_NS_XX defined for CA_n77C. Moreover, there are no </w:t>
      </w:r>
      <w:bookmarkStart w:id="37" w:name="OLE_LINK27"/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>CA_NS_XX or CA_NC_NS_XX value</w:t>
      </w:r>
      <w:bookmarkEnd w:id="37"/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for</w:t>
      </w:r>
      <w:bookmarkStart w:id="38" w:name="OLE_LINK29"/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n78 intra-band CA</w:t>
      </w:r>
      <w:bookmarkEnd w:id="38"/>
      <w:r>
        <w:rPr>
          <w:rFonts w:hint="eastAsia" w:cs="Times New Roman"/>
          <w:b w:val="0"/>
          <w:bCs w:val="0"/>
          <w:kern w:val="2"/>
          <w:sz w:val="20"/>
          <w:szCs w:val="20"/>
          <w:lang w:val="en-US" w:eastAsia="zh-CN" w:bidi="ar-SA"/>
        </w:rPr>
        <w:t>. All of these can be applied to PC1.5 intra-band CA.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jc w:val="left"/>
        <w:textAlignment w:val="auto"/>
        <w:outlineLvl w:val="9"/>
        <w:rPr>
          <w:rFonts w:hint="default" w:cs="Times New Roman"/>
          <w:i/>
          <w:iCs/>
          <w:sz w:val="20"/>
          <w:szCs w:val="20"/>
          <w:lang w:val="en-US" w:eastAsia="zh-CN"/>
        </w:rPr>
      </w:pPr>
      <w:bookmarkStart w:id="39" w:name="OLE_LINK76"/>
      <w:r>
        <w:rPr>
          <w:rFonts w:hint="eastAsia" w:eastAsia="宋体"/>
          <w:b/>
          <w:bCs/>
          <w:i/>
          <w:iCs/>
          <w:sz w:val="20"/>
          <w:szCs w:val="20"/>
          <w:highlight w:val="none"/>
          <w:lang w:val="en-US" w:eastAsia="zh-CN"/>
        </w:rPr>
        <w:t xml:space="preserve">Observation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1</w:t>
      </w:r>
      <w:r>
        <w:rPr>
          <w:rFonts w:hint="eastAsia"/>
          <w:b/>
          <w:bCs/>
          <w:i/>
          <w:iCs/>
          <w:sz w:val="20"/>
          <w:highlight w:val="none"/>
          <w:vertAlign w:val="baseline"/>
          <w:lang w:val="en-US" w:eastAsia="zh-CN"/>
        </w:rPr>
        <w:t xml:space="preserve">: </w:t>
      </w:r>
      <w:r>
        <w:rPr>
          <w:rFonts w:hint="eastAsia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For n78, there are no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CA_NS_XX or CA_NC_NS_XX values for intra-band CA, and for n77, general </w:t>
      </w:r>
      <w:r>
        <w:rPr>
          <w:rFonts w:hint="default" w:ascii="Times New Roman" w:hAnsi="Times New Roman" w:eastAsia="宋体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>CA_NC_NS_01</w:t>
      </w:r>
      <w:r>
        <w:rPr>
          <w:rFonts w:hint="eastAsia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is used for intra-band non-contiguous CA but no CA_NS_XX value defined for intra-band contiguous CA. For n41,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CA_NS_04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 and CA_NC_NS_04 are used to for PC2/PC3 n41C and n41(2A),</w:t>
      </w:r>
    </w:p>
    <w:p>
      <w:pPr>
        <w:keepNext w:val="0"/>
        <w:keepLines w:val="0"/>
        <w:widowControl/>
        <w:suppressLineNumbers w:val="0"/>
        <w:jc w:val="left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bookmarkStart w:id="40" w:name="OLE_LINK48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2:</w:t>
      </w:r>
      <w:bookmarkEnd w:id="40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 No A-MPR requirements are defined for PC1.5 n77/n78 intra-band CA, while the A-MPR requirements are needed to be revisited for PC1.5 n41 intra-band CA.</w:t>
      </w:r>
    </w:p>
    <w:bookmarkEnd w:id="39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/>
          <w:b/>
          <w:bCs/>
          <w:sz w:val="20"/>
          <w:highlight w:val="none"/>
          <w:u w:val="single"/>
          <w:vertAlign w:val="baseline"/>
          <w:lang w:val="en-US" w:eastAsia="zh-CN"/>
        </w:rPr>
      </w:pPr>
      <w:r>
        <w:rPr>
          <w:rFonts w:hint="eastAsia"/>
          <w:b/>
          <w:bCs/>
          <w:sz w:val="20"/>
          <w:highlight w:val="none"/>
          <w:u w:val="single"/>
          <w:vertAlign w:val="baseline"/>
          <w:lang w:val="en-US" w:eastAsia="zh-CN"/>
        </w:rPr>
        <w:t>SAR solution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For the SAR issue, from specification aspect we think the P-MPR solution is the baseline solution, similar with other HPUE topics. On top of the P-MPR approach, for PC2 TDD band/intra-band CA, another way, a.k.a. duty cycle scheme is introduced in the specification.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According to the following general descriptions for intra-band contiguous and non-contiguous CA in sub-clause 4.2:  </w:t>
      </w:r>
    </w:p>
    <w:p>
      <w:pPr>
        <w:pStyle w:val="46"/>
        <w:keepNext/>
        <w:keepLines/>
        <w:pageBreakBefore w:val="0"/>
        <w:kinsoku/>
        <w:wordWrap/>
        <w:topLinePunct w:val="0"/>
        <w:bidi w:val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d)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>All the requirements for intra-band contiguous and non-contiguous CA apply under the assumption of the same slot format indicated by UL-DL-configuration-common in the PCell and SCells for NR SA.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The above text are described in power class agnostic manner, so it is nature to be applicable for PC1.5 intra-band contiguous and non-contiguous CA. Due to the component carries in the UL intra-band CA are synchronized, it is feasible </w:t>
      </w:r>
      <w:r>
        <w:rPr>
          <w:rFonts w:hint="eastAsia" w:eastAsia="宋体" w:cs="Times New Roman"/>
          <w:i w:val="0"/>
          <w:iCs w:val="0"/>
          <w:color w:val="auto"/>
          <w:sz w:val="20"/>
          <w:szCs w:val="22"/>
          <w:highlight w:val="none"/>
          <w:lang w:val="en-US" w:eastAsia="zh-CN"/>
        </w:rPr>
        <w:t>reuse the capability for single carrier case.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/>
          <w:iCs/>
          <w:color w:val="auto"/>
          <w:sz w:val="20"/>
          <w:szCs w:val="22"/>
          <w:highlight w:val="none"/>
          <w:lang w:val="en-US" w:eastAsia="zh-CN"/>
        </w:rPr>
      </w:pPr>
      <w:bookmarkStart w:id="41" w:name="OLE_LINK1"/>
      <w:bookmarkStart w:id="42" w:name="OLE_LINK50"/>
      <w:bookmarkStart w:id="43" w:name="OLE_LINK77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3: For duty cycle </w:t>
      </w:r>
      <w:bookmarkStart w:id="44" w:name="OLE_LINK13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based SAR solution</w:t>
      </w:r>
      <w:bookmarkEnd w:id="44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, </w:t>
      </w:r>
      <w:r>
        <w:rPr>
          <w:rFonts w:hint="eastAsia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reu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se the </w:t>
      </w:r>
      <w:r>
        <w:rPr>
          <w:rFonts w:hint="eastAsia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PC1.5 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single CC 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capability for PC1.5</w:t>
      </w:r>
      <w:bookmarkStart w:id="45" w:name="OLE_LINK54"/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 TDD UL intra-band contiguous and non-contiguous CA</w:t>
      </w:r>
      <w:bookmarkEnd w:id="45"/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.</w:t>
      </w:r>
      <w:r>
        <w:rPr>
          <w:rFonts w:hint="eastAsia" w:eastAsia="宋体" w:cs="Times New Roman"/>
          <w:i/>
          <w:iCs/>
          <w:color w:val="auto"/>
          <w:sz w:val="20"/>
          <w:szCs w:val="22"/>
          <w:highlight w:val="none"/>
          <w:lang w:val="en-US" w:eastAsia="zh-CN"/>
        </w:rPr>
        <w:t xml:space="preserve"> </w:t>
      </w:r>
    </w:p>
    <w:bookmarkEnd w:id="41"/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cs="Times New Roman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cs="Times New Roman"/>
          <w:b/>
          <w:bCs/>
          <w:sz w:val="20"/>
          <w:szCs w:val="20"/>
          <w:u w:val="single"/>
          <w:lang w:val="en-US" w:eastAsia="zh-CN"/>
        </w:rPr>
        <w:t>Pcmax requirements/telorance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/>
          <w:iCs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For Pcmax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requirements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, it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is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related to the duty cycle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based SAR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solutions when the preconditions are not meet which cause the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maximum output power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fallback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from 29dBm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to PC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2/PC3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,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 xml:space="preserve">due to only the descriptions of </w:t>
      </w:r>
      <w:r>
        <w:rPr>
          <w:sz w:val="20"/>
          <w:szCs w:val="20"/>
          <w:highlight w:val="none"/>
          <w:lang w:eastAsia="zh-CN"/>
        </w:rPr>
        <w:t>ΔP</w:t>
      </w:r>
      <w:r>
        <w:rPr>
          <w:sz w:val="20"/>
          <w:szCs w:val="20"/>
          <w:highlight w:val="none"/>
          <w:vertAlign w:val="subscript"/>
          <w:lang w:eastAsia="zh-CN"/>
        </w:rPr>
        <w:t>PowerClass,CA</w:t>
      </w:r>
      <w:r>
        <w:rPr>
          <w:sz w:val="20"/>
          <w:szCs w:val="20"/>
          <w:highlight w:val="none"/>
          <w:lang w:eastAsia="zh-CN"/>
        </w:rPr>
        <w:t xml:space="preserve"> = 3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with maximum fallback from 26dBm to 23dBm 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are included in the current spec,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so both </w:t>
      </w:r>
      <w:r>
        <w:rPr>
          <w:sz w:val="20"/>
          <w:highlight w:val="none"/>
          <w:lang w:eastAsia="zh-CN"/>
        </w:rPr>
        <w:t>ΔP</w:t>
      </w:r>
      <w:r>
        <w:rPr>
          <w:sz w:val="20"/>
          <w:highlight w:val="none"/>
          <w:vertAlign w:val="subscript"/>
          <w:lang w:eastAsia="zh-CN"/>
        </w:rPr>
        <w:t>PowerClass</w:t>
      </w:r>
      <w:r>
        <w:rPr>
          <w:rFonts w:hint="eastAsia"/>
          <w:sz w:val="20"/>
          <w:highlight w:val="none"/>
          <w:vertAlign w:val="baseline"/>
          <w:lang w:val="en-US" w:eastAsia="zh-CN"/>
        </w:rPr>
        <w:t xml:space="preserve">=3dB and </w:t>
      </w:r>
      <w:r>
        <w:rPr>
          <w:sz w:val="20"/>
          <w:highlight w:val="none"/>
          <w:lang w:eastAsia="zh-CN"/>
        </w:rPr>
        <w:t>ΔP</w:t>
      </w:r>
      <w:r>
        <w:rPr>
          <w:sz w:val="20"/>
          <w:highlight w:val="none"/>
          <w:vertAlign w:val="subscript"/>
          <w:lang w:eastAsia="zh-CN"/>
        </w:rPr>
        <w:t>PowerClass</w:t>
      </w:r>
      <w:r>
        <w:rPr>
          <w:rFonts w:hint="eastAsia"/>
          <w:sz w:val="20"/>
          <w:highlight w:val="none"/>
          <w:vertAlign w:val="baseline"/>
          <w:lang w:val="en-US" w:eastAsia="zh-CN"/>
        </w:rPr>
        <w:t>=6dB associated with the descriptions related to duty cycle are needed to be defined.</w:t>
      </w:r>
    </w:p>
    <w:bookmarkEnd w:id="42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</w:pPr>
      <w:bookmarkStart w:id="46" w:name="OLE_LINK57"/>
      <w:bookmarkStart w:id="47" w:name="OLE_LINK93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4: </w:t>
      </w:r>
      <w:bookmarkEnd w:id="46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Pcmax requirement update with </w:t>
      </w:r>
      <w:r>
        <w:rPr>
          <w:b/>
          <w:bCs/>
          <w:i/>
          <w:iCs/>
          <w:sz w:val="20"/>
          <w:highlight w:val="none"/>
          <w:lang w:eastAsia="zh-CN"/>
        </w:rPr>
        <w:t>ΔP</w:t>
      </w:r>
      <w:r>
        <w:rPr>
          <w:b/>
          <w:bCs/>
          <w:i/>
          <w:iCs/>
          <w:sz w:val="20"/>
          <w:highlight w:val="none"/>
          <w:vertAlign w:val="subscript"/>
          <w:lang w:eastAsia="zh-CN"/>
        </w:rPr>
        <w:t>PowerClass</w:t>
      </w:r>
      <w:r>
        <w:rPr>
          <w:rFonts w:hint="eastAsia"/>
          <w:b/>
          <w:bCs/>
          <w:i/>
          <w:iCs/>
          <w:sz w:val="20"/>
          <w:highlight w:val="none"/>
          <w:vertAlign w:val="subscript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highlight w:val="none"/>
          <w:vertAlign w:val="baseline"/>
          <w:lang w:val="en-US" w:eastAsia="zh-CN"/>
        </w:rPr>
        <w:t>=3/6</w:t>
      </w:r>
      <w:r>
        <w:rPr>
          <w:rFonts w:hint="eastAsia"/>
          <w:b/>
          <w:bCs/>
          <w:i/>
          <w:iCs/>
          <w:sz w:val="20"/>
          <w:highlight w:val="none"/>
          <w:vertAlign w:val="subscript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 xml:space="preserve">associated with the descriptions related to duty cycle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based SAR solution 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 xml:space="preserve">are needed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for PC1.5 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TDD</w:t>
      </w:r>
      <w:r>
        <w:rPr>
          <w:rFonts w:hint="eastAsia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 UL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 intra-band contiguous and non-contiguous CA</w:t>
      </w:r>
    </w:p>
    <w:bookmarkEnd w:id="47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For the Pcmax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GB" w:eastAsia="en-GB"/>
        </w:rPr>
        <w:t>tolerance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, it is unclear for the </w:t>
      </w:r>
      <w:bookmarkStart w:id="48" w:name="OLE_LINK92"/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T</w:t>
      </w:r>
      <w:r>
        <w:rPr>
          <w:rFonts w:hint="eastAsia" w:cs="Times New Roman"/>
          <w:i w:val="0"/>
          <w:iCs w:val="0"/>
          <w:sz w:val="20"/>
          <w:szCs w:val="22"/>
          <w:highlight w:val="none"/>
          <w:vertAlign w:val="subscript"/>
          <w:lang w:val="en-US" w:eastAsia="zh-CN"/>
        </w:rPr>
        <w:t>LOW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/T</w:t>
      </w:r>
      <w:r>
        <w:rPr>
          <w:rFonts w:hint="eastAsia" w:cs="Times New Roman"/>
          <w:i w:val="0"/>
          <w:iCs w:val="0"/>
          <w:sz w:val="20"/>
          <w:szCs w:val="22"/>
          <w:highlight w:val="none"/>
          <w:vertAlign w:val="subscript"/>
          <w:lang w:val="en-US" w:eastAsia="zh-CN"/>
        </w:rPr>
        <w:t xml:space="preserve">HIGH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values</w:t>
      </w:r>
      <w:bookmarkEnd w:id="48"/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 associated with the Pcmax range in the WF. To be more clear, the T</w:t>
      </w:r>
      <w:r>
        <w:rPr>
          <w:rFonts w:hint="eastAsia" w:cs="Times New Roman"/>
          <w:i w:val="0"/>
          <w:iCs w:val="0"/>
          <w:sz w:val="20"/>
          <w:szCs w:val="22"/>
          <w:highlight w:val="none"/>
          <w:vertAlign w:val="subscript"/>
          <w:lang w:val="en-US" w:eastAsia="zh-CN"/>
        </w:rPr>
        <w:t>LOW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/T</w:t>
      </w:r>
      <w:r>
        <w:rPr>
          <w:rFonts w:hint="eastAsia" w:cs="Times New Roman"/>
          <w:i w:val="0"/>
          <w:iCs w:val="0"/>
          <w:sz w:val="20"/>
          <w:szCs w:val="22"/>
          <w:highlight w:val="none"/>
          <w:vertAlign w:val="subscript"/>
          <w:lang w:val="en-US" w:eastAsia="zh-CN"/>
        </w:rPr>
        <w:t xml:space="preserve">HIGH </w:t>
      </w:r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values for Pcmax range should be </w:t>
      </w:r>
      <w:bookmarkStart w:id="49" w:name="OLE_LINK94"/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[23, 29]</w:t>
      </w:r>
      <w:bookmarkEnd w:id="49"/>
      <w:r>
        <w:rPr>
          <w:rFonts w:hint="eastAsia" w:cs="Times New Roman"/>
          <w:i w:val="0"/>
          <w:iCs w:val="0"/>
          <w:sz w:val="20"/>
          <w:szCs w:val="22"/>
          <w:highlight w:val="none"/>
          <w:lang w:val="en-US" w:eastAsia="zh-CN"/>
        </w:rPr>
        <w:t>dBm, i.e. upscoping the range from [23, 26]dBm to [23, 29]dBm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/>
        </w:rPr>
      </w:pPr>
      <w:bookmarkStart w:id="50" w:name="OLE_LINK4"/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5: To be more clear, the</w:t>
      </w:r>
      <w:r>
        <w:rPr>
          <w:rFonts w:hint="eastAsia"/>
          <w:b/>
          <w:bCs/>
          <w:i/>
          <w:iCs/>
          <w:sz w:val="20"/>
        </w:rPr>
        <w:t xml:space="preserve"> P</w:t>
      </w:r>
      <w:r>
        <w:rPr>
          <w:rFonts w:hint="eastAsia"/>
          <w:b/>
          <w:bCs/>
          <w:i/>
          <w:iCs/>
          <w:sz w:val="20"/>
          <w:vertAlign w:val="subscript"/>
        </w:rPr>
        <w:t>CMAX</w:t>
      </w:r>
      <w:r>
        <w:rPr>
          <w:rFonts w:hint="eastAsia"/>
          <w:b/>
          <w:bCs/>
          <w:i/>
          <w:iCs/>
          <w:sz w:val="20"/>
        </w:rPr>
        <w:t xml:space="preserve"> tolerance for uplink intra-band contiguous</w:t>
      </w:r>
      <w:r>
        <w:rPr>
          <w:rFonts w:hint="eastAsia"/>
          <w:b/>
          <w:bCs/>
          <w:i/>
          <w:iCs/>
          <w:sz w:val="20"/>
          <w:lang w:val="en-US" w:eastAsia="zh-CN"/>
        </w:rPr>
        <w:t>/non-contiguous</w:t>
      </w:r>
      <w:r>
        <w:rPr>
          <w:rFonts w:hint="eastAsia"/>
          <w:b/>
          <w:bCs/>
          <w:i/>
          <w:iCs/>
          <w:sz w:val="20"/>
        </w:rPr>
        <w:t xml:space="preserve"> CA</w:t>
      </w:r>
      <w:r>
        <w:rPr>
          <w:rFonts w:hint="eastAsia"/>
          <w:b/>
          <w:bCs/>
          <w:i/>
          <w:iCs/>
          <w:sz w:val="20"/>
          <w:lang w:val="en-US" w:eastAsia="zh-CN"/>
        </w:rPr>
        <w:t xml:space="preserve"> are:</w:t>
      </w:r>
    </w:p>
    <w:tbl>
      <w:tblPr>
        <w:tblStyle w:val="22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083"/>
        <w:gridCol w:w="2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64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3" w:type="dxa"/>
            <w:shd w:val="clear" w:color="auto" w:fill="auto"/>
          </w:tcPr>
          <w:p>
            <w:pPr>
              <w:pStyle w:val="64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83" w:type="dxa"/>
          </w:tcPr>
          <w:p>
            <w:pPr>
              <w:pStyle w:val="64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56"/>
              <w:spacing w:beforeLines="0" w:afterLines="0"/>
              <w:rPr>
                <w:rFonts w:hint="eastAsia" w:eastAsia="宋体"/>
                <w:lang w:val="en-US" w:eastAsia="zh-CN"/>
              </w:rPr>
            </w:pPr>
            <w:r>
              <w:t xml:space="preserve">23 </w:t>
            </w:r>
            <w:r>
              <w:rPr>
                <w:rFonts w:cs="Arial"/>
              </w:rPr>
              <w:t>&lt;</w:t>
            </w:r>
            <w:r>
              <w:t xml:space="preserve"> P</w:t>
            </w:r>
            <w:r>
              <w:rPr>
                <w:vertAlign w:val="subscript"/>
              </w:rPr>
              <w:t>CMAX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</w:t>
            </w:r>
            <w:r>
              <w:rPr>
                <w:highlight w:val="yellow"/>
              </w:rPr>
              <w:t>2</w:t>
            </w:r>
            <w:r>
              <w:rPr>
                <w:rFonts w:hint="eastAsia"/>
                <w:highlight w:val="yellow"/>
                <w:lang w:val="en-US" w:eastAsia="zh-CN"/>
              </w:rPr>
              <w:t>9</w:t>
            </w:r>
          </w:p>
        </w:tc>
        <w:tc>
          <w:tcPr>
            <w:tcW w:w="2083" w:type="dxa"/>
            <w:shd w:val="clear" w:color="auto" w:fill="auto"/>
          </w:tcPr>
          <w:p>
            <w:pPr>
              <w:pStyle w:val="56"/>
              <w:spacing w:beforeLines="0" w:afterLine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>
            <w:pPr>
              <w:pStyle w:val="56"/>
              <w:spacing w:beforeLines="0" w:afterLine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19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18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13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7.0</w:t>
            </w:r>
          </w:p>
        </w:tc>
      </w:tr>
      <w:bookmarkEnd w:id="17"/>
      <w:bookmarkEnd w:id="43"/>
      <w:bookmarkEnd w:id="50"/>
    </w:tbl>
    <w:p>
      <w:pPr>
        <w:keepNext/>
        <w:keepLines/>
        <w:pageBreakBefore w:val="0"/>
        <w:widowControl w:val="0"/>
        <w:numPr>
          <w:ilvl w:val="0"/>
          <w:numId w:val="0"/>
        </w:numPr>
        <w:suppressLineNumbers w:val="0"/>
        <w:kinsoku/>
        <w:wordWrap/>
        <w:topLinePunct w:val="0"/>
        <w:bidi w:val="0"/>
        <w:spacing w:before="120" w:beforeLines="50"/>
        <w:jc w:val="left"/>
        <w:rPr>
          <w:rFonts w:hint="eastAsia"/>
          <w:sz w:val="20"/>
          <w:szCs w:val="20"/>
          <w:highlight w:val="none"/>
          <w:lang w:val="en-US" w:eastAsia="zh-CN"/>
        </w:rPr>
      </w:pPr>
    </w:p>
    <w:bookmarkEnd w:id="18"/>
    <w:bookmarkEnd w:id="19"/>
    <w:bookmarkEnd w:id="20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we give </w:t>
      </w:r>
      <w:r>
        <w:rPr>
          <w:rFonts w:hint="eastAsia" w:cs="Times New Roman"/>
          <w:sz w:val="20"/>
          <w:szCs w:val="20"/>
          <w:lang w:val="en-US" w:eastAsia="zh-CN"/>
        </w:rPr>
        <w:t xml:space="preserve">further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discussions on </w:t>
      </w:r>
      <w:r>
        <w:rPr>
          <w:rFonts w:hint="eastAsia" w:cs="Times New Roman"/>
          <w:sz w:val="20"/>
          <w:szCs w:val="20"/>
          <w:lang w:val="en-US" w:eastAsia="zh-CN"/>
        </w:rPr>
        <w:t xml:space="preserve">PC1.5 </w:t>
      </w:r>
      <w:r>
        <w:rPr>
          <w:rFonts w:hint="eastAsia" w:cs="Times New Roman"/>
          <w:sz w:val="20"/>
          <w:szCs w:val="20"/>
          <w:lang w:val="en-US" w:eastAsia="ja-JP"/>
        </w:rPr>
        <w:t>Intra-band contiguous and non-contiguous UL CA</w:t>
      </w:r>
      <w:r>
        <w:rPr>
          <w:rFonts w:hint="eastAsia" w:cs="Times New Roman"/>
          <w:sz w:val="20"/>
          <w:szCs w:val="20"/>
          <w:lang w:val="en-US" w:eastAsia="zh-CN"/>
        </w:rPr>
        <w:t>. T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he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proposals 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conclusions are: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 w:cs="Times New Roman"/>
          <w:b/>
          <w:bCs/>
          <w:i/>
          <w:iCs/>
          <w:sz w:val="20"/>
          <w:szCs w:val="20"/>
          <w:lang w:val="en-US" w:eastAsia="zh-CN"/>
        </w:rPr>
        <w:t>Proposal 1: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To adopt </w:t>
      </w:r>
      <w:r>
        <w:rPr>
          <w:rFonts w:hint="default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‘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dualPA-Architecture</w:t>
      </w: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(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>2x26 dBm PA + 2 LO with 100MHz BW</w:t>
      </w: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)</w:t>
      </w:r>
      <w:r>
        <w:rPr>
          <w:rFonts w:hint="default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’</w:t>
      </w: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 for PC1.5 intra-band NC CA</w:t>
      </w:r>
    </w:p>
    <w:p>
      <w:pPr>
        <w:keepNext w:val="0"/>
        <w:keepLines w:val="0"/>
        <w:widowControl/>
        <w:suppressLineNumbers w:val="0"/>
        <w:jc w:val="left"/>
        <w:rPr>
          <w:rFonts w:hint="default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To adopt </w:t>
      </w:r>
      <w:r>
        <w:rPr>
          <w:rFonts w:hint="default" w:eastAsia="等线" w:cs="Times New Roman"/>
          <w:b/>
          <w:bCs/>
          <w:i/>
          <w:iCs/>
          <w:kern w:val="2"/>
          <w:sz w:val="20"/>
          <w:lang w:val="en-US" w:eastAsia="zh-CN"/>
        </w:rPr>
        <w:t>‘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2x26 dBm PA + </w:t>
      </w: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 LO with </w:t>
      </w: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/>
          <w:iCs/>
          <w:kern w:val="2"/>
          <w:sz w:val="20"/>
          <w:lang w:val="en-US" w:eastAsia="zh-CN"/>
        </w:rPr>
        <w:t>00MHz BW</w:t>
      </w:r>
      <w:r>
        <w:rPr>
          <w:rFonts w:hint="default" w:eastAsia="等线" w:cs="Times New Roman"/>
          <w:b/>
          <w:bCs/>
          <w:i/>
          <w:iCs/>
          <w:kern w:val="2"/>
          <w:sz w:val="20"/>
          <w:lang w:val="en-US" w:eastAsia="zh-CN"/>
        </w:rPr>
        <w:t>’</w:t>
      </w:r>
      <w:r>
        <w:rPr>
          <w:rFonts w:hint="eastAsia" w:eastAsia="等线" w:cs="Times New Roman"/>
          <w:b/>
          <w:bCs/>
          <w:i/>
          <w:iCs/>
          <w:kern w:val="2"/>
          <w:sz w:val="20"/>
          <w:lang w:val="en-US" w:eastAsia="zh-CN"/>
        </w:rPr>
        <w:t xml:space="preserve"> </w:t>
      </w:r>
      <w:r>
        <w:rPr>
          <w:rFonts w:hint="eastAsia" w:eastAsia="等线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for PC1.5 intra-band C CA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jc w:val="left"/>
        <w:textAlignment w:val="auto"/>
        <w:outlineLvl w:val="9"/>
        <w:rPr>
          <w:rFonts w:hint="default" w:cs="Times New Roman"/>
          <w:i/>
          <w:iCs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20"/>
          <w:highlight w:val="none"/>
          <w:lang w:val="en-US" w:eastAsia="zh-CN"/>
        </w:rPr>
        <w:t xml:space="preserve">Observation </w:t>
      </w:r>
      <w:r>
        <w:rPr>
          <w:rFonts w:hint="eastAsia"/>
          <w:b/>
          <w:bCs/>
          <w:i/>
          <w:iCs/>
          <w:sz w:val="20"/>
          <w:szCs w:val="20"/>
          <w:highlight w:val="none"/>
          <w:lang w:val="en-US" w:eastAsia="zh-CN"/>
        </w:rPr>
        <w:t>1</w:t>
      </w:r>
      <w:r>
        <w:rPr>
          <w:rFonts w:hint="eastAsia"/>
          <w:b/>
          <w:bCs/>
          <w:i/>
          <w:iCs/>
          <w:sz w:val="20"/>
          <w:highlight w:val="none"/>
          <w:vertAlign w:val="baseline"/>
          <w:lang w:val="en-US" w:eastAsia="zh-CN"/>
        </w:rPr>
        <w:t xml:space="preserve">: </w:t>
      </w:r>
      <w:r>
        <w:rPr>
          <w:rFonts w:hint="eastAsia" w:eastAsia="宋体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sz w:val="20"/>
          <w:szCs w:val="20"/>
          <w:highlight w:val="none"/>
          <w:lang w:val="en-US" w:eastAsia="zh-CN"/>
        </w:rPr>
        <w:t xml:space="preserve">For n78, there are no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CA_NS_XX or CA_NC_NS_XX values for intra-band CA, and for n77, general </w:t>
      </w:r>
      <w:r>
        <w:rPr>
          <w:rFonts w:hint="default" w:ascii="Times New Roman" w:hAnsi="Times New Roman" w:eastAsia="宋体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>CA_NC_NS_01</w:t>
      </w:r>
      <w:r>
        <w:rPr>
          <w:rFonts w:hint="eastAsia" w:cs="Times New Roman"/>
          <w:b/>
          <w:bCs/>
          <w:i/>
          <w:iCs/>
          <w:color w:val="000000"/>
          <w:kern w:val="0"/>
          <w:sz w:val="20"/>
          <w:szCs w:val="20"/>
          <w:lang w:val="en-US" w:eastAsia="zh-CN" w:bidi="ar"/>
        </w:rPr>
        <w:t xml:space="preserve"> is used for intra-band non-contiguous CA but no CA_NS_XX value defined for intra-band contiguous CA. For n41, </w:t>
      </w:r>
      <w:r>
        <w:rPr>
          <w:rFonts w:hint="eastAsia" w:ascii="Times New Roman" w:hAnsi="Times New Roman" w:eastAsia="宋体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>CA_NS_04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 w:bidi="ar-SA"/>
        </w:rPr>
        <w:t xml:space="preserve"> and CA_NC_NS_04 are used to for PC2/PC3 n41C and n41(2A),</w:t>
      </w:r>
    </w:p>
    <w:p>
      <w:pPr>
        <w:keepNext w:val="0"/>
        <w:keepLines w:val="0"/>
        <w:widowControl/>
        <w:suppressLineNumbers w:val="0"/>
        <w:jc w:val="left"/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2: No A-MPR requirements are defined for PC1.5 n77/n78 intra-band CA, while the A-MPR requirements are needed to be revisited for PC1.5 n41 intra-band CA.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/>
          <w:iCs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3: For duty cycle based SAR solution, </w:t>
      </w:r>
      <w:r>
        <w:rPr>
          <w:rFonts w:hint="eastAsia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reu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se the </w:t>
      </w:r>
      <w:r>
        <w:rPr>
          <w:rFonts w:hint="eastAsia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PC1.5 </w:t>
      </w:r>
      <w:r>
        <w:rPr>
          <w:rFonts w:hint="default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single CC 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capability for PC1.5 TDD UL intra-band contiguous and non-contiguous CA.</w:t>
      </w:r>
      <w:r>
        <w:rPr>
          <w:rFonts w:hint="eastAsia" w:eastAsia="宋体" w:cs="Times New Roman"/>
          <w:i/>
          <w:iCs/>
          <w:color w:val="auto"/>
          <w:sz w:val="20"/>
          <w:szCs w:val="22"/>
          <w:highlight w:val="none"/>
          <w:lang w:val="en-US" w:eastAsia="zh-CN"/>
        </w:rPr>
        <w:t xml:space="preserve">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Proposal 4: Pcmax requirement update with </w:t>
      </w:r>
      <w:r>
        <w:rPr>
          <w:b/>
          <w:bCs/>
          <w:i/>
          <w:iCs/>
          <w:sz w:val="20"/>
          <w:highlight w:val="none"/>
          <w:lang w:eastAsia="zh-CN"/>
        </w:rPr>
        <w:t>ΔP</w:t>
      </w:r>
      <w:r>
        <w:rPr>
          <w:b/>
          <w:bCs/>
          <w:i/>
          <w:iCs/>
          <w:sz w:val="20"/>
          <w:highlight w:val="none"/>
          <w:vertAlign w:val="subscript"/>
          <w:lang w:eastAsia="zh-CN"/>
        </w:rPr>
        <w:t>PowerClass</w:t>
      </w:r>
      <w:r>
        <w:rPr>
          <w:rFonts w:hint="eastAsia"/>
          <w:b/>
          <w:bCs/>
          <w:i/>
          <w:iCs/>
          <w:sz w:val="20"/>
          <w:highlight w:val="none"/>
          <w:vertAlign w:val="subscript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highlight w:val="none"/>
          <w:vertAlign w:val="baseline"/>
          <w:lang w:val="en-US" w:eastAsia="zh-CN"/>
        </w:rPr>
        <w:t>=3/6</w:t>
      </w:r>
      <w:r>
        <w:rPr>
          <w:rFonts w:hint="eastAsia"/>
          <w:b/>
          <w:bCs/>
          <w:i/>
          <w:iCs/>
          <w:sz w:val="20"/>
          <w:highlight w:val="none"/>
          <w:vertAlign w:val="subscript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 xml:space="preserve">associated with the descriptions related to duty cycle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based SAR solution </w:t>
      </w:r>
      <w:r>
        <w:rPr>
          <w:rFonts w:hint="eastAsia"/>
          <w:b/>
          <w:bCs/>
          <w:i/>
          <w:iCs/>
          <w:sz w:val="20"/>
          <w:vertAlign w:val="baseline"/>
          <w:lang w:val="en-US" w:eastAsia="zh-CN"/>
        </w:rPr>
        <w:t xml:space="preserve">are needed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for PC1.5 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>TDD</w:t>
      </w:r>
      <w:r>
        <w:rPr>
          <w:rFonts w:hint="eastAsia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 UL</w:t>
      </w:r>
      <w:r>
        <w:rPr>
          <w:rFonts w:hint="eastAsia" w:eastAsia="宋体" w:cs="Times New Roman"/>
          <w:b/>
          <w:bCs/>
          <w:i/>
          <w:iCs/>
          <w:color w:val="auto"/>
          <w:sz w:val="20"/>
          <w:szCs w:val="22"/>
          <w:highlight w:val="none"/>
          <w:lang w:val="en-US" w:eastAsia="zh-CN"/>
        </w:rPr>
        <w:t xml:space="preserve"> intra-band contiguous and non-contiguous CA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5: To be more clear, the</w:t>
      </w:r>
      <w:r>
        <w:rPr>
          <w:rFonts w:hint="eastAsia"/>
          <w:b/>
          <w:bCs/>
          <w:i/>
          <w:iCs/>
          <w:sz w:val="20"/>
        </w:rPr>
        <w:t xml:space="preserve"> P</w:t>
      </w:r>
      <w:r>
        <w:rPr>
          <w:rFonts w:hint="eastAsia"/>
          <w:b/>
          <w:bCs/>
          <w:i/>
          <w:iCs/>
          <w:sz w:val="20"/>
          <w:vertAlign w:val="subscript"/>
        </w:rPr>
        <w:t>CMAX</w:t>
      </w:r>
      <w:r>
        <w:rPr>
          <w:rFonts w:hint="eastAsia"/>
          <w:b/>
          <w:bCs/>
          <w:i/>
          <w:iCs/>
          <w:sz w:val="20"/>
        </w:rPr>
        <w:t xml:space="preserve"> tolerance for uplink intra-band contiguous</w:t>
      </w:r>
      <w:r>
        <w:rPr>
          <w:rFonts w:hint="eastAsia"/>
          <w:b/>
          <w:bCs/>
          <w:i/>
          <w:iCs/>
          <w:sz w:val="20"/>
          <w:lang w:val="en-US" w:eastAsia="zh-CN"/>
        </w:rPr>
        <w:t>/non-contiguous</w:t>
      </w:r>
      <w:r>
        <w:rPr>
          <w:rFonts w:hint="eastAsia"/>
          <w:b/>
          <w:bCs/>
          <w:i/>
          <w:iCs/>
          <w:sz w:val="20"/>
        </w:rPr>
        <w:t xml:space="preserve"> CA</w:t>
      </w:r>
      <w:r>
        <w:rPr>
          <w:rFonts w:hint="eastAsia"/>
          <w:b/>
          <w:bCs/>
          <w:i/>
          <w:iCs/>
          <w:sz w:val="20"/>
          <w:lang w:val="en-US" w:eastAsia="zh-CN"/>
        </w:rPr>
        <w:t xml:space="preserve"> are:</w:t>
      </w:r>
    </w:p>
    <w:tbl>
      <w:tblPr>
        <w:tblStyle w:val="22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083"/>
        <w:gridCol w:w="2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64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3" w:type="dxa"/>
            <w:shd w:val="clear" w:color="auto" w:fill="auto"/>
          </w:tcPr>
          <w:p>
            <w:pPr>
              <w:pStyle w:val="64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83" w:type="dxa"/>
          </w:tcPr>
          <w:p>
            <w:pPr>
              <w:pStyle w:val="64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</w:tcPr>
          <w:p>
            <w:pPr>
              <w:pStyle w:val="56"/>
              <w:spacing w:beforeLines="0" w:afterLines="0"/>
              <w:rPr>
                <w:rFonts w:hint="eastAsia" w:eastAsia="宋体"/>
                <w:lang w:val="en-US" w:eastAsia="zh-CN"/>
              </w:rPr>
            </w:pPr>
            <w:r>
              <w:t xml:space="preserve">23 </w:t>
            </w:r>
            <w:r>
              <w:rPr>
                <w:rFonts w:cs="Arial"/>
              </w:rPr>
              <w:t>&lt;</w:t>
            </w:r>
            <w:r>
              <w:t xml:space="preserve"> P</w:t>
            </w:r>
            <w:r>
              <w:rPr>
                <w:vertAlign w:val="subscript"/>
              </w:rPr>
              <w:t>CMAX</w:t>
            </w:r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</w:t>
            </w:r>
            <w:r>
              <w:rPr>
                <w:highlight w:val="yellow"/>
              </w:rPr>
              <w:t>2</w:t>
            </w:r>
            <w:r>
              <w:rPr>
                <w:rFonts w:hint="eastAsia"/>
                <w:highlight w:val="yellow"/>
                <w:lang w:val="en-US" w:eastAsia="zh-CN"/>
              </w:rPr>
              <w:t>9</w:t>
            </w:r>
          </w:p>
        </w:tc>
        <w:tc>
          <w:tcPr>
            <w:tcW w:w="2083" w:type="dxa"/>
            <w:shd w:val="clear" w:color="auto" w:fill="auto"/>
          </w:tcPr>
          <w:p>
            <w:pPr>
              <w:pStyle w:val="56"/>
              <w:spacing w:beforeLines="0" w:afterLine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>
            <w:pPr>
              <w:pStyle w:val="56"/>
              <w:spacing w:beforeLines="0" w:afterLine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21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20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19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18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13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8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9" w:type="dxa"/>
            <w:shd w:val="clear" w:color="auto" w:fill="auto"/>
            <w:vAlign w:val="center"/>
          </w:tcPr>
          <w:p>
            <w:pPr>
              <w:pStyle w:val="56"/>
              <w:spacing w:beforeLines="0" w:afterLines="0"/>
              <w:rPr>
                <w:rFonts w:cs="Arial"/>
              </w:rPr>
            </w:pPr>
            <w:r>
              <w:rPr>
                <w:rFonts w:cs="Arial"/>
              </w:rPr>
              <w:t>-40 ≤ P</w:t>
            </w:r>
            <w:r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>
            <w:pPr>
              <w:pStyle w:val="56"/>
              <w:spacing w:beforeLines="0" w:afterLines="0"/>
            </w:pPr>
            <w:r>
              <w:t>7.0</w:t>
            </w:r>
          </w:p>
        </w:tc>
      </w:tr>
    </w:tbl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bookmarkStart w:id="51" w:name="OLE_LINK2"/>
      <w:r>
        <w:rPr>
          <w:rFonts w:hint="eastAsia"/>
          <w:sz w:val="20"/>
          <w:szCs w:val="20"/>
          <w:lang w:val="en-US" w:eastAsia="zh-CN"/>
        </w:rPr>
        <w:t>[1] RP-240828</w:t>
      </w:r>
      <w:bookmarkEnd w:id="51"/>
      <w:r>
        <w:rPr>
          <w:rFonts w:hint="eastAsia"/>
          <w:sz w:val="20"/>
          <w:szCs w:val="20"/>
          <w:lang w:val="en-US" w:eastAsia="zh-CN"/>
        </w:rPr>
        <w:t>, New WID: UE RF enhancements for NR FR1/FR2 and EN-DC, Phase 4, RAN4 chair (Huawei)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[2] R4-2406583, WF on HPUE UE for UL CA and EN-DC, Samsung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[3] R4-2405226, Discussion on R19 FR1 TN HPUE requirements, ZTE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[4] </w:t>
      </w:r>
      <w:bookmarkStart w:id="52" w:name="OLE_LINK3"/>
      <w:r>
        <w:rPr>
          <w:rFonts w:hint="eastAsia"/>
          <w:sz w:val="20"/>
          <w:szCs w:val="20"/>
          <w:lang w:val="en-US" w:eastAsia="zh-CN"/>
        </w:rPr>
        <w:t>R4-2404901</w:t>
      </w:r>
      <w:bookmarkEnd w:id="52"/>
      <w:r>
        <w:rPr>
          <w:rFonts w:hint="eastAsia"/>
          <w:sz w:val="20"/>
          <w:szCs w:val="20"/>
          <w:lang w:val="en-US" w:eastAsia="zh-CN"/>
        </w:rPr>
        <w:t>, On architecture aspects for PC1p5 intra-band ULCA support, Skyworks Solutions Inc.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2F3F4C3B"/>
    <w:multiLevelType w:val="multilevel"/>
    <w:tmpl w:val="2F3F4C3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86A41F5"/>
    <w:multiLevelType w:val="multilevel"/>
    <w:tmpl w:val="486A41F5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D8B22F8"/>
    <w:multiLevelType w:val="multilevel"/>
    <w:tmpl w:val="4D8B22F8"/>
    <w:lvl w:ilvl="0" w:tentative="0">
      <w:start w:val="1"/>
      <w:numFmt w:val="bullet"/>
      <w:lvlText w:val="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5B6568FB"/>
    <w:multiLevelType w:val="multilevel"/>
    <w:tmpl w:val="5B6568FB"/>
    <w:lvl w:ilvl="0" w:tentative="0">
      <w:start w:val="2"/>
      <w:numFmt w:val="bullet"/>
      <w:lvlText w:val="-"/>
      <w:lvlJc w:val="left"/>
      <w:pPr>
        <w:ind w:left="5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10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3F4D90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228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286A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6065"/>
    <w:rsid w:val="00BB0A84"/>
    <w:rsid w:val="00BB7052"/>
    <w:rsid w:val="00BC2AB7"/>
    <w:rsid w:val="00BC6BB6"/>
    <w:rsid w:val="00BE107C"/>
    <w:rsid w:val="00BE1368"/>
    <w:rsid w:val="00BE6247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26CC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0685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A04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29526D"/>
    <w:rsid w:val="014A0623"/>
    <w:rsid w:val="014C6B63"/>
    <w:rsid w:val="01536583"/>
    <w:rsid w:val="01764F01"/>
    <w:rsid w:val="01795BD9"/>
    <w:rsid w:val="018107C9"/>
    <w:rsid w:val="01815F85"/>
    <w:rsid w:val="01837FEF"/>
    <w:rsid w:val="01854FE9"/>
    <w:rsid w:val="018E207B"/>
    <w:rsid w:val="0190283E"/>
    <w:rsid w:val="019B32C6"/>
    <w:rsid w:val="019D155B"/>
    <w:rsid w:val="01A428BB"/>
    <w:rsid w:val="01AE307F"/>
    <w:rsid w:val="01B35169"/>
    <w:rsid w:val="01BB2C67"/>
    <w:rsid w:val="01BF0B5D"/>
    <w:rsid w:val="01C00B7B"/>
    <w:rsid w:val="01D11357"/>
    <w:rsid w:val="01D46B8D"/>
    <w:rsid w:val="01D866D8"/>
    <w:rsid w:val="01EE2663"/>
    <w:rsid w:val="01F31C8D"/>
    <w:rsid w:val="01F90434"/>
    <w:rsid w:val="01FB366B"/>
    <w:rsid w:val="01FD3930"/>
    <w:rsid w:val="021B7C87"/>
    <w:rsid w:val="0221260B"/>
    <w:rsid w:val="022D4A6E"/>
    <w:rsid w:val="023B0A39"/>
    <w:rsid w:val="023C78A7"/>
    <w:rsid w:val="02444B7E"/>
    <w:rsid w:val="024A5964"/>
    <w:rsid w:val="024B023C"/>
    <w:rsid w:val="024D6B6A"/>
    <w:rsid w:val="024F6C8C"/>
    <w:rsid w:val="02504E6F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9D7AB8"/>
    <w:rsid w:val="02A10998"/>
    <w:rsid w:val="02A705C7"/>
    <w:rsid w:val="02AB0FBC"/>
    <w:rsid w:val="02AE6812"/>
    <w:rsid w:val="02B22D9F"/>
    <w:rsid w:val="02D16C80"/>
    <w:rsid w:val="02DC3F9C"/>
    <w:rsid w:val="02E14F55"/>
    <w:rsid w:val="02F900F0"/>
    <w:rsid w:val="03047DDD"/>
    <w:rsid w:val="03073BDC"/>
    <w:rsid w:val="03086405"/>
    <w:rsid w:val="030B0647"/>
    <w:rsid w:val="030B2860"/>
    <w:rsid w:val="030C40C1"/>
    <w:rsid w:val="030D2F0B"/>
    <w:rsid w:val="030F3B4D"/>
    <w:rsid w:val="03350E4E"/>
    <w:rsid w:val="033C68CE"/>
    <w:rsid w:val="03445E8F"/>
    <w:rsid w:val="03496C64"/>
    <w:rsid w:val="035154D3"/>
    <w:rsid w:val="03527C38"/>
    <w:rsid w:val="03557185"/>
    <w:rsid w:val="0356746F"/>
    <w:rsid w:val="03620451"/>
    <w:rsid w:val="03642E26"/>
    <w:rsid w:val="036E37C2"/>
    <w:rsid w:val="03746F87"/>
    <w:rsid w:val="03780D14"/>
    <w:rsid w:val="037828CA"/>
    <w:rsid w:val="03814F5B"/>
    <w:rsid w:val="038B3141"/>
    <w:rsid w:val="03970C22"/>
    <w:rsid w:val="03A77DFA"/>
    <w:rsid w:val="03AA5C06"/>
    <w:rsid w:val="03AC1F4B"/>
    <w:rsid w:val="03B339B1"/>
    <w:rsid w:val="03C05350"/>
    <w:rsid w:val="03C1287B"/>
    <w:rsid w:val="03C12A05"/>
    <w:rsid w:val="03C36B0E"/>
    <w:rsid w:val="03C528EA"/>
    <w:rsid w:val="03C53E20"/>
    <w:rsid w:val="03CF67FA"/>
    <w:rsid w:val="03D7133F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77A12"/>
    <w:rsid w:val="044C78D8"/>
    <w:rsid w:val="04537B11"/>
    <w:rsid w:val="04684A28"/>
    <w:rsid w:val="046C0EAE"/>
    <w:rsid w:val="04782230"/>
    <w:rsid w:val="0479507E"/>
    <w:rsid w:val="04894975"/>
    <w:rsid w:val="04964902"/>
    <w:rsid w:val="049973F4"/>
    <w:rsid w:val="04A65723"/>
    <w:rsid w:val="04AB3262"/>
    <w:rsid w:val="04AC0BD2"/>
    <w:rsid w:val="04B14B03"/>
    <w:rsid w:val="04B15E44"/>
    <w:rsid w:val="04C509AD"/>
    <w:rsid w:val="04CC51EB"/>
    <w:rsid w:val="04D76DDC"/>
    <w:rsid w:val="04DA1A87"/>
    <w:rsid w:val="04DD0A04"/>
    <w:rsid w:val="04DE2DA3"/>
    <w:rsid w:val="04EB6DF8"/>
    <w:rsid w:val="04FE0DF4"/>
    <w:rsid w:val="04FF1C94"/>
    <w:rsid w:val="04FF7D5A"/>
    <w:rsid w:val="0502349F"/>
    <w:rsid w:val="05061BBF"/>
    <w:rsid w:val="050E7487"/>
    <w:rsid w:val="05161D2D"/>
    <w:rsid w:val="0522500E"/>
    <w:rsid w:val="052E568F"/>
    <w:rsid w:val="0537511C"/>
    <w:rsid w:val="053973F0"/>
    <w:rsid w:val="053E65E7"/>
    <w:rsid w:val="05437A57"/>
    <w:rsid w:val="054E2A6F"/>
    <w:rsid w:val="0555228E"/>
    <w:rsid w:val="056501EA"/>
    <w:rsid w:val="056D1155"/>
    <w:rsid w:val="056F7FAB"/>
    <w:rsid w:val="057030A6"/>
    <w:rsid w:val="05741F0E"/>
    <w:rsid w:val="057D1D66"/>
    <w:rsid w:val="0584418A"/>
    <w:rsid w:val="058E7B70"/>
    <w:rsid w:val="059D265F"/>
    <w:rsid w:val="05B74214"/>
    <w:rsid w:val="05B92EC1"/>
    <w:rsid w:val="05C251E4"/>
    <w:rsid w:val="05C26893"/>
    <w:rsid w:val="05C868B7"/>
    <w:rsid w:val="05E078B3"/>
    <w:rsid w:val="05EE6827"/>
    <w:rsid w:val="05F11F71"/>
    <w:rsid w:val="05FE4B58"/>
    <w:rsid w:val="0601277E"/>
    <w:rsid w:val="060C5AED"/>
    <w:rsid w:val="06103146"/>
    <w:rsid w:val="06172561"/>
    <w:rsid w:val="061E54DA"/>
    <w:rsid w:val="061E5E22"/>
    <w:rsid w:val="062C26E7"/>
    <w:rsid w:val="063F5DA3"/>
    <w:rsid w:val="06460B91"/>
    <w:rsid w:val="06472FEB"/>
    <w:rsid w:val="0654187C"/>
    <w:rsid w:val="065475DE"/>
    <w:rsid w:val="06556C03"/>
    <w:rsid w:val="06575D97"/>
    <w:rsid w:val="06637BD9"/>
    <w:rsid w:val="066935ED"/>
    <w:rsid w:val="066F06B5"/>
    <w:rsid w:val="06782F84"/>
    <w:rsid w:val="067C28D6"/>
    <w:rsid w:val="067E40B7"/>
    <w:rsid w:val="0681696E"/>
    <w:rsid w:val="06851866"/>
    <w:rsid w:val="068E06BC"/>
    <w:rsid w:val="06907E56"/>
    <w:rsid w:val="069201CB"/>
    <w:rsid w:val="06956E2E"/>
    <w:rsid w:val="06971860"/>
    <w:rsid w:val="069F445A"/>
    <w:rsid w:val="06B741D9"/>
    <w:rsid w:val="06C457B6"/>
    <w:rsid w:val="06CD4A70"/>
    <w:rsid w:val="06DF4C13"/>
    <w:rsid w:val="06E34232"/>
    <w:rsid w:val="06E7678C"/>
    <w:rsid w:val="06F13CA3"/>
    <w:rsid w:val="06F14C51"/>
    <w:rsid w:val="06F42A88"/>
    <w:rsid w:val="06F801C0"/>
    <w:rsid w:val="070E5EE2"/>
    <w:rsid w:val="07105178"/>
    <w:rsid w:val="0712124C"/>
    <w:rsid w:val="071426A5"/>
    <w:rsid w:val="071614A3"/>
    <w:rsid w:val="071A1AB9"/>
    <w:rsid w:val="071C13A8"/>
    <w:rsid w:val="07330445"/>
    <w:rsid w:val="073D143C"/>
    <w:rsid w:val="073E1A3D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2420A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26643"/>
    <w:rsid w:val="07D57946"/>
    <w:rsid w:val="07E2277C"/>
    <w:rsid w:val="07E6675C"/>
    <w:rsid w:val="07ED524D"/>
    <w:rsid w:val="07FC1127"/>
    <w:rsid w:val="080124E3"/>
    <w:rsid w:val="080B341D"/>
    <w:rsid w:val="080C7FA0"/>
    <w:rsid w:val="08120068"/>
    <w:rsid w:val="08162951"/>
    <w:rsid w:val="08193C24"/>
    <w:rsid w:val="082E1CC1"/>
    <w:rsid w:val="08341060"/>
    <w:rsid w:val="083D71D5"/>
    <w:rsid w:val="085514F1"/>
    <w:rsid w:val="085A5F4A"/>
    <w:rsid w:val="08675174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D25907"/>
    <w:rsid w:val="08E916DF"/>
    <w:rsid w:val="08F3022B"/>
    <w:rsid w:val="08F473EA"/>
    <w:rsid w:val="08F815F3"/>
    <w:rsid w:val="08F96E54"/>
    <w:rsid w:val="08FC0AA5"/>
    <w:rsid w:val="090868CF"/>
    <w:rsid w:val="09167EC9"/>
    <w:rsid w:val="091C4700"/>
    <w:rsid w:val="09294EE0"/>
    <w:rsid w:val="09306537"/>
    <w:rsid w:val="09355076"/>
    <w:rsid w:val="09392119"/>
    <w:rsid w:val="093E6BA4"/>
    <w:rsid w:val="09445E95"/>
    <w:rsid w:val="09543B3B"/>
    <w:rsid w:val="09600FBD"/>
    <w:rsid w:val="0972595C"/>
    <w:rsid w:val="097734F1"/>
    <w:rsid w:val="097960C6"/>
    <w:rsid w:val="097D5DA0"/>
    <w:rsid w:val="098143BC"/>
    <w:rsid w:val="098500F1"/>
    <w:rsid w:val="099E4326"/>
    <w:rsid w:val="09B7610E"/>
    <w:rsid w:val="09BD407A"/>
    <w:rsid w:val="09CD7D07"/>
    <w:rsid w:val="09DA0E26"/>
    <w:rsid w:val="09E55691"/>
    <w:rsid w:val="09EA29E1"/>
    <w:rsid w:val="09EB2B51"/>
    <w:rsid w:val="09EF75D1"/>
    <w:rsid w:val="09F43460"/>
    <w:rsid w:val="09F67CD5"/>
    <w:rsid w:val="0A054821"/>
    <w:rsid w:val="0A0835C8"/>
    <w:rsid w:val="0A145721"/>
    <w:rsid w:val="0A2C297E"/>
    <w:rsid w:val="0A307C92"/>
    <w:rsid w:val="0A355EAA"/>
    <w:rsid w:val="0A3708FF"/>
    <w:rsid w:val="0A3B01F9"/>
    <w:rsid w:val="0A3F0488"/>
    <w:rsid w:val="0A402A36"/>
    <w:rsid w:val="0A4236A3"/>
    <w:rsid w:val="0A49096C"/>
    <w:rsid w:val="0A4E7EF5"/>
    <w:rsid w:val="0A646846"/>
    <w:rsid w:val="0A76304F"/>
    <w:rsid w:val="0A80214B"/>
    <w:rsid w:val="0A8251CA"/>
    <w:rsid w:val="0A8828AB"/>
    <w:rsid w:val="0A895661"/>
    <w:rsid w:val="0A927DC1"/>
    <w:rsid w:val="0A9358E8"/>
    <w:rsid w:val="0A952FEA"/>
    <w:rsid w:val="0A9B4F7F"/>
    <w:rsid w:val="0A9C263A"/>
    <w:rsid w:val="0A9E3D3D"/>
    <w:rsid w:val="0AA077E0"/>
    <w:rsid w:val="0AA16D79"/>
    <w:rsid w:val="0AA84209"/>
    <w:rsid w:val="0ABF3E2E"/>
    <w:rsid w:val="0AC01F88"/>
    <w:rsid w:val="0AC0212C"/>
    <w:rsid w:val="0AC55D37"/>
    <w:rsid w:val="0AC81C45"/>
    <w:rsid w:val="0AD542C1"/>
    <w:rsid w:val="0ADD5A20"/>
    <w:rsid w:val="0ADF65DA"/>
    <w:rsid w:val="0AE10FD9"/>
    <w:rsid w:val="0AF13898"/>
    <w:rsid w:val="0AFB1BDE"/>
    <w:rsid w:val="0AFB3228"/>
    <w:rsid w:val="0AFC6C07"/>
    <w:rsid w:val="0B0250FD"/>
    <w:rsid w:val="0B0F025C"/>
    <w:rsid w:val="0B1A6333"/>
    <w:rsid w:val="0B2713F4"/>
    <w:rsid w:val="0B2E7CE5"/>
    <w:rsid w:val="0B3D701F"/>
    <w:rsid w:val="0B3E7DD7"/>
    <w:rsid w:val="0B481192"/>
    <w:rsid w:val="0B494066"/>
    <w:rsid w:val="0B4D4BB3"/>
    <w:rsid w:val="0B4F7F8D"/>
    <w:rsid w:val="0B561995"/>
    <w:rsid w:val="0B5C2C2A"/>
    <w:rsid w:val="0B665E0A"/>
    <w:rsid w:val="0B796FFB"/>
    <w:rsid w:val="0B847B39"/>
    <w:rsid w:val="0B902D5E"/>
    <w:rsid w:val="0B987E20"/>
    <w:rsid w:val="0B9C06D5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BD23AC3"/>
    <w:rsid w:val="0BDE3FD8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7C40BF"/>
    <w:rsid w:val="0C8005ED"/>
    <w:rsid w:val="0C814739"/>
    <w:rsid w:val="0C8601BF"/>
    <w:rsid w:val="0C863429"/>
    <w:rsid w:val="0C8B63A3"/>
    <w:rsid w:val="0C9F6AEC"/>
    <w:rsid w:val="0CB94808"/>
    <w:rsid w:val="0CC11AEF"/>
    <w:rsid w:val="0CC37BC2"/>
    <w:rsid w:val="0CCB7A8E"/>
    <w:rsid w:val="0CD87ABE"/>
    <w:rsid w:val="0CD90733"/>
    <w:rsid w:val="0CE26C42"/>
    <w:rsid w:val="0CE632FF"/>
    <w:rsid w:val="0CE76B48"/>
    <w:rsid w:val="0CEB5DBE"/>
    <w:rsid w:val="0CF6484A"/>
    <w:rsid w:val="0CFB523A"/>
    <w:rsid w:val="0CFC15F0"/>
    <w:rsid w:val="0D0227BA"/>
    <w:rsid w:val="0D1B1E9C"/>
    <w:rsid w:val="0D2716E6"/>
    <w:rsid w:val="0D3226D5"/>
    <w:rsid w:val="0D4B44A1"/>
    <w:rsid w:val="0D6468BA"/>
    <w:rsid w:val="0D6811B4"/>
    <w:rsid w:val="0D6E2620"/>
    <w:rsid w:val="0D704E21"/>
    <w:rsid w:val="0D7A2BC8"/>
    <w:rsid w:val="0D7F48FE"/>
    <w:rsid w:val="0D883C88"/>
    <w:rsid w:val="0D936E72"/>
    <w:rsid w:val="0D966BF7"/>
    <w:rsid w:val="0D9B5860"/>
    <w:rsid w:val="0DAA3F6B"/>
    <w:rsid w:val="0DB84E5F"/>
    <w:rsid w:val="0DB94E10"/>
    <w:rsid w:val="0DCC3AE8"/>
    <w:rsid w:val="0DD87842"/>
    <w:rsid w:val="0DE35C55"/>
    <w:rsid w:val="0DE45DFB"/>
    <w:rsid w:val="0DF202E1"/>
    <w:rsid w:val="0DF53CE3"/>
    <w:rsid w:val="0E0961C5"/>
    <w:rsid w:val="0E147898"/>
    <w:rsid w:val="0E183199"/>
    <w:rsid w:val="0E2A7688"/>
    <w:rsid w:val="0E2F216B"/>
    <w:rsid w:val="0E3352C6"/>
    <w:rsid w:val="0E3A5EE2"/>
    <w:rsid w:val="0E542F3B"/>
    <w:rsid w:val="0E6271C6"/>
    <w:rsid w:val="0E6271DF"/>
    <w:rsid w:val="0E655A78"/>
    <w:rsid w:val="0E681731"/>
    <w:rsid w:val="0E6C5EC6"/>
    <w:rsid w:val="0E7071B5"/>
    <w:rsid w:val="0E81568A"/>
    <w:rsid w:val="0E924723"/>
    <w:rsid w:val="0E942250"/>
    <w:rsid w:val="0E963344"/>
    <w:rsid w:val="0E9E6E00"/>
    <w:rsid w:val="0EA40C1C"/>
    <w:rsid w:val="0EB72E4B"/>
    <w:rsid w:val="0EB91987"/>
    <w:rsid w:val="0ED07B90"/>
    <w:rsid w:val="0EDA2BCA"/>
    <w:rsid w:val="0EEC6F1D"/>
    <w:rsid w:val="0EF00D65"/>
    <w:rsid w:val="0EF33893"/>
    <w:rsid w:val="0EFB6721"/>
    <w:rsid w:val="0EFF5127"/>
    <w:rsid w:val="0F054463"/>
    <w:rsid w:val="0F103291"/>
    <w:rsid w:val="0F1D498B"/>
    <w:rsid w:val="0F337178"/>
    <w:rsid w:val="0F3B15FC"/>
    <w:rsid w:val="0F41022A"/>
    <w:rsid w:val="0F44420A"/>
    <w:rsid w:val="0F4B77A5"/>
    <w:rsid w:val="0F4F1A2F"/>
    <w:rsid w:val="0F56743B"/>
    <w:rsid w:val="0F5D0D44"/>
    <w:rsid w:val="0F60682C"/>
    <w:rsid w:val="0F6763D9"/>
    <w:rsid w:val="0F6A2766"/>
    <w:rsid w:val="0F715B2B"/>
    <w:rsid w:val="0F764270"/>
    <w:rsid w:val="0F773D64"/>
    <w:rsid w:val="0F7756E1"/>
    <w:rsid w:val="0F790C96"/>
    <w:rsid w:val="0F7F273F"/>
    <w:rsid w:val="0F8418ED"/>
    <w:rsid w:val="0F957B47"/>
    <w:rsid w:val="0F98796C"/>
    <w:rsid w:val="0F9F6FA4"/>
    <w:rsid w:val="0FA65D5C"/>
    <w:rsid w:val="0FA83295"/>
    <w:rsid w:val="0FAD33DA"/>
    <w:rsid w:val="0FBE2A42"/>
    <w:rsid w:val="0FBF1587"/>
    <w:rsid w:val="0FC17CCE"/>
    <w:rsid w:val="0FC424B9"/>
    <w:rsid w:val="0FD70565"/>
    <w:rsid w:val="0FDF162E"/>
    <w:rsid w:val="0FEA050A"/>
    <w:rsid w:val="0FEC680C"/>
    <w:rsid w:val="0FEE2832"/>
    <w:rsid w:val="0FF83B33"/>
    <w:rsid w:val="10007AD6"/>
    <w:rsid w:val="10016174"/>
    <w:rsid w:val="100D3E09"/>
    <w:rsid w:val="101B1E8A"/>
    <w:rsid w:val="101C4A03"/>
    <w:rsid w:val="101D0C86"/>
    <w:rsid w:val="10325332"/>
    <w:rsid w:val="10386626"/>
    <w:rsid w:val="103B2931"/>
    <w:rsid w:val="104A023B"/>
    <w:rsid w:val="10505F3B"/>
    <w:rsid w:val="105F56AF"/>
    <w:rsid w:val="106D2686"/>
    <w:rsid w:val="107538B9"/>
    <w:rsid w:val="107641C0"/>
    <w:rsid w:val="107A2416"/>
    <w:rsid w:val="107C3E2C"/>
    <w:rsid w:val="107D41AE"/>
    <w:rsid w:val="10887960"/>
    <w:rsid w:val="108C2479"/>
    <w:rsid w:val="109E4593"/>
    <w:rsid w:val="10AA1B06"/>
    <w:rsid w:val="10C715C5"/>
    <w:rsid w:val="10CC72E4"/>
    <w:rsid w:val="10D335EF"/>
    <w:rsid w:val="10DA6BCD"/>
    <w:rsid w:val="10E3138D"/>
    <w:rsid w:val="10E746EA"/>
    <w:rsid w:val="10E83FE0"/>
    <w:rsid w:val="10EC3168"/>
    <w:rsid w:val="10EC5C55"/>
    <w:rsid w:val="10F24E5D"/>
    <w:rsid w:val="10F52718"/>
    <w:rsid w:val="11173599"/>
    <w:rsid w:val="112E2D86"/>
    <w:rsid w:val="11301133"/>
    <w:rsid w:val="113457E2"/>
    <w:rsid w:val="11366DAC"/>
    <w:rsid w:val="11376E3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0BA4"/>
    <w:rsid w:val="11B91A57"/>
    <w:rsid w:val="11C427F5"/>
    <w:rsid w:val="11C67B8F"/>
    <w:rsid w:val="11CA11D0"/>
    <w:rsid w:val="11CE730E"/>
    <w:rsid w:val="11D658B4"/>
    <w:rsid w:val="11D75BF2"/>
    <w:rsid w:val="11D815C4"/>
    <w:rsid w:val="11D910AD"/>
    <w:rsid w:val="11E55FA1"/>
    <w:rsid w:val="11E57D4F"/>
    <w:rsid w:val="11ED5EAE"/>
    <w:rsid w:val="11EE6703"/>
    <w:rsid w:val="11F62C9D"/>
    <w:rsid w:val="11F67383"/>
    <w:rsid w:val="11F92DAB"/>
    <w:rsid w:val="11FC38D5"/>
    <w:rsid w:val="11FE0013"/>
    <w:rsid w:val="1210682D"/>
    <w:rsid w:val="12162A85"/>
    <w:rsid w:val="121A40C0"/>
    <w:rsid w:val="121E2AC6"/>
    <w:rsid w:val="123332A6"/>
    <w:rsid w:val="12384D02"/>
    <w:rsid w:val="123A05DB"/>
    <w:rsid w:val="124240B9"/>
    <w:rsid w:val="124D0988"/>
    <w:rsid w:val="124D0CC1"/>
    <w:rsid w:val="12680E73"/>
    <w:rsid w:val="126D2629"/>
    <w:rsid w:val="12706434"/>
    <w:rsid w:val="12763466"/>
    <w:rsid w:val="127E5AA6"/>
    <w:rsid w:val="12802B6B"/>
    <w:rsid w:val="128B2749"/>
    <w:rsid w:val="129019B5"/>
    <w:rsid w:val="129168E1"/>
    <w:rsid w:val="12945F88"/>
    <w:rsid w:val="129811DB"/>
    <w:rsid w:val="129937EE"/>
    <w:rsid w:val="1299543B"/>
    <w:rsid w:val="129E6282"/>
    <w:rsid w:val="12A13750"/>
    <w:rsid w:val="12AB7A32"/>
    <w:rsid w:val="12AC64CF"/>
    <w:rsid w:val="12BB6535"/>
    <w:rsid w:val="12C05977"/>
    <w:rsid w:val="12C231FF"/>
    <w:rsid w:val="12C30189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1E2669"/>
    <w:rsid w:val="13216E71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5F4CF0"/>
    <w:rsid w:val="1366638D"/>
    <w:rsid w:val="136D76E8"/>
    <w:rsid w:val="137266E0"/>
    <w:rsid w:val="137F164B"/>
    <w:rsid w:val="13853516"/>
    <w:rsid w:val="139D3156"/>
    <w:rsid w:val="13A9004F"/>
    <w:rsid w:val="13A938D2"/>
    <w:rsid w:val="13AA5FA1"/>
    <w:rsid w:val="13AF2BDE"/>
    <w:rsid w:val="13BB0DD4"/>
    <w:rsid w:val="13C20262"/>
    <w:rsid w:val="13CE7C74"/>
    <w:rsid w:val="13D024B3"/>
    <w:rsid w:val="13D115EF"/>
    <w:rsid w:val="13D86A45"/>
    <w:rsid w:val="13D92D9C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00F48"/>
    <w:rsid w:val="1424615D"/>
    <w:rsid w:val="1426671F"/>
    <w:rsid w:val="142C143A"/>
    <w:rsid w:val="142E1345"/>
    <w:rsid w:val="14345A34"/>
    <w:rsid w:val="143533EF"/>
    <w:rsid w:val="14367BDC"/>
    <w:rsid w:val="143F5FC4"/>
    <w:rsid w:val="145103FA"/>
    <w:rsid w:val="145F07C7"/>
    <w:rsid w:val="146B69A8"/>
    <w:rsid w:val="146C5189"/>
    <w:rsid w:val="146F1089"/>
    <w:rsid w:val="14816B50"/>
    <w:rsid w:val="148313F4"/>
    <w:rsid w:val="14912D9C"/>
    <w:rsid w:val="14934F1A"/>
    <w:rsid w:val="149559C4"/>
    <w:rsid w:val="149E117F"/>
    <w:rsid w:val="14AB0B21"/>
    <w:rsid w:val="14AC0C32"/>
    <w:rsid w:val="14C45576"/>
    <w:rsid w:val="14C76D6C"/>
    <w:rsid w:val="14CB0971"/>
    <w:rsid w:val="14CB7E6E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3817CF"/>
    <w:rsid w:val="15425F26"/>
    <w:rsid w:val="15436E45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BE2FC0"/>
    <w:rsid w:val="15C526A4"/>
    <w:rsid w:val="15C95B15"/>
    <w:rsid w:val="15DC75CF"/>
    <w:rsid w:val="15E30A80"/>
    <w:rsid w:val="15E310C1"/>
    <w:rsid w:val="15FB16C4"/>
    <w:rsid w:val="1608480E"/>
    <w:rsid w:val="161C1C58"/>
    <w:rsid w:val="1622315D"/>
    <w:rsid w:val="1626155A"/>
    <w:rsid w:val="16282C4E"/>
    <w:rsid w:val="1629434E"/>
    <w:rsid w:val="162E1BBF"/>
    <w:rsid w:val="162F7556"/>
    <w:rsid w:val="16413A3A"/>
    <w:rsid w:val="1644500C"/>
    <w:rsid w:val="16461A95"/>
    <w:rsid w:val="16585E87"/>
    <w:rsid w:val="16594F06"/>
    <w:rsid w:val="165A38E6"/>
    <w:rsid w:val="165C6C0C"/>
    <w:rsid w:val="166F5E80"/>
    <w:rsid w:val="16766A92"/>
    <w:rsid w:val="167A52A9"/>
    <w:rsid w:val="167B7B40"/>
    <w:rsid w:val="167C6594"/>
    <w:rsid w:val="16833FFF"/>
    <w:rsid w:val="16866882"/>
    <w:rsid w:val="16895E32"/>
    <w:rsid w:val="168F69F2"/>
    <w:rsid w:val="169C7FDE"/>
    <w:rsid w:val="169F1EA0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81A43"/>
    <w:rsid w:val="170B631B"/>
    <w:rsid w:val="1712339A"/>
    <w:rsid w:val="171B1C8E"/>
    <w:rsid w:val="171E63FC"/>
    <w:rsid w:val="172244D9"/>
    <w:rsid w:val="1722504D"/>
    <w:rsid w:val="172C2525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B40A1"/>
    <w:rsid w:val="17AC60A9"/>
    <w:rsid w:val="17B5256D"/>
    <w:rsid w:val="17B92501"/>
    <w:rsid w:val="17CD2623"/>
    <w:rsid w:val="17D651ED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0E3727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AB3604"/>
    <w:rsid w:val="18B50543"/>
    <w:rsid w:val="18C515FC"/>
    <w:rsid w:val="18CA40C3"/>
    <w:rsid w:val="18CC73BC"/>
    <w:rsid w:val="18CD7A02"/>
    <w:rsid w:val="18E21EFF"/>
    <w:rsid w:val="18F32AFF"/>
    <w:rsid w:val="18F37652"/>
    <w:rsid w:val="19001FFC"/>
    <w:rsid w:val="190E2B4A"/>
    <w:rsid w:val="19151C58"/>
    <w:rsid w:val="1917174A"/>
    <w:rsid w:val="19256D7A"/>
    <w:rsid w:val="19292CD4"/>
    <w:rsid w:val="192C403E"/>
    <w:rsid w:val="193275C2"/>
    <w:rsid w:val="19454C70"/>
    <w:rsid w:val="194D2005"/>
    <w:rsid w:val="194D3980"/>
    <w:rsid w:val="195B59A7"/>
    <w:rsid w:val="196229FF"/>
    <w:rsid w:val="19655A52"/>
    <w:rsid w:val="19663168"/>
    <w:rsid w:val="196D1144"/>
    <w:rsid w:val="197724BD"/>
    <w:rsid w:val="19786B0A"/>
    <w:rsid w:val="198A41A1"/>
    <w:rsid w:val="199A2059"/>
    <w:rsid w:val="199B4699"/>
    <w:rsid w:val="19A40543"/>
    <w:rsid w:val="19A91329"/>
    <w:rsid w:val="19B46E10"/>
    <w:rsid w:val="19C456C1"/>
    <w:rsid w:val="19C47D20"/>
    <w:rsid w:val="19C96BAE"/>
    <w:rsid w:val="19DB6A7E"/>
    <w:rsid w:val="19DF018D"/>
    <w:rsid w:val="19E65498"/>
    <w:rsid w:val="19F061A1"/>
    <w:rsid w:val="19F3324D"/>
    <w:rsid w:val="1A054259"/>
    <w:rsid w:val="1A081816"/>
    <w:rsid w:val="1A0C5680"/>
    <w:rsid w:val="1A153EDB"/>
    <w:rsid w:val="1A165171"/>
    <w:rsid w:val="1A2F1830"/>
    <w:rsid w:val="1A4858FF"/>
    <w:rsid w:val="1A4C698A"/>
    <w:rsid w:val="1A586874"/>
    <w:rsid w:val="1A5D5219"/>
    <w:rsid w:val="1A5E4B5A"/>
    <w:rsid w:val="1A605995"/>
    <w:rsid w:val="1A672B1C"/>
    <w:rsid w:val="1A735226"/>
    <w:rsid w:val="1A8301C0"/>
    <w:rsid w:val="1A852016"/>
    <w:rsid w:val="1A872248"/>
    <w:rsid w:val="1A923A68"/>
    <w:rsid w:val="1A9B2279"/>
    <w:rsid w:val="1A9D2D45"/>
    <w:rsid w:val="1A9E6232"/>
    <w:rsid w:val="1AA57BA7"/>
    <w:rsid w:val="1AA74D3D"/>
    <w:rsid w:val="1AB34DB4"/>
    <w:rsid w:val="1AB613FD"/>
    <w:rsid w:val="1AB91DEF"/>
    <w:rsid w:val="1AC1475F"/>
    <w:rsid w:val="1ACF5EB8"/>
    <w:rsid w:val="1AD26086"/>
    <w:rsid w:val="1AD827ED"/>
    <w:rsid w:val="1ADA65A5"/>
    <w:rsid w:val="1ADC75C9"/>
    <w:rsid w:val="1ADD5ACE"/>
    <w:rsid w:val="1ADD7AC1"/>
    <w:rsid w:val="1AE013F8"/>
    <w:rsid w:val="1AE449BB"/>
    <w:rsid w:val="1AE8570C"/>
    <w:rsid w:val="1AF14946"/>
    <w:rsid w:val="1AFB06A3"/>
    <w:rsid w:val="1B0F19AE"/>
    <w:rsid w:val="1B2160BB"/>
    <w:rsid w:val="1B3137EE"/>
    <w:rsid w:val="1B3637AD"/>
    <w:rsid w:val="1B3E0DB5"/>
    <w:rsid w:val="1B435D31"/>
    <w:rsid w:val="1B454C94"/>
    <w:rsid w:val="1B496377"/>
    <w:rsid w:val="1B506283"/>
    <w:rsid w:val="1B6C0DF0"/>
    <w:rsid w:val="1B7034E2"/>
    <w:rsid w:val="1B797F1F"/>
    <w:rsid w:val="1B7F6005"/>
    <w:rsid w:val="1B862C77"/>
    <w:rsid w:val="1B94236B"/>
    <w:rsid w:val="1B9A1502"/>
    <w:rsid w:val="1B9A4A8D"/>
    <w:rsid w:val="1B9C269A"/>
    <w:rsid w:val="1B9E64C5"/>
    <w:rsid w:val="1B9E6D4C"/>
    <w:rsid w:val="1BA252C1"/>
    <w:rsid w:val="1BAF07EF"/>
    <w:rsid w:val="1BBD43BA"/>
    <w:rsid w:val="1BC01115"/>
    <w:rsid w:val="1BC44015"/>
    <w:rsid w:val="1BCA6284"/>
    <w:rsid w:val="1BE475CF"/>
    <w:rsid w:val="1BE94688"/>
    <w:rsid w:val="1BEA3348"/>
    <w:rsid w:val="1BFE5FF9"/>
    <w:rsid w:val="1C013494"/>
    <w:rsid w:val="1C053414"/>
    <w:rsid w:val="1C132CB9"/>
    <w:rsid w:val="1C1642A1"/>
    <w:rsid w:val="1C207A38"/>
    <w:rsid w:val="1C273D33"/>
    <w:rsid w:val="1C274D98"/>
    <w:rsid w:val="1C395CFF"/>
    <w:rsid w:val="1C4032AB"/>
    <w:rsid w:val="1C4672ED"/>
    <w:rsid w:val="1C467AB6"/>
    <w:rsid w:val="1C6277A9"/>
    <w:rsid w:val="1C687AA0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73770"/>
    <w:rsid w:val="1CCC26CA"/>
    <w:rsid w:val="1CCF6CAF"/>
    <w:rsid w:val="1CD2156B"/>
    <w:rsid w:val="1CD41743"/>
    <w:rsid w:val="1CD44D3D"/>
    <w:rsid w:val="1CD51DA1"/>
    <w:rsid w:val="1CE45EF5"/>
    <w:rsid w:val="1CE615C9"/>
    <w:rsid w:val="1D037029"/>
    <w:rsid w:val="1D051DAC"/>
    <w:rsid w:val="1D1316E8"/>
    <w:rsid w:val="1D1D7103"/>
    <w:rsid w:val="1D2B0BB4"/>
    <w:rsid w:val="1D3305FF"/>
    <w:rsid w:val="1D335FC4"/>
    <w:rsid w:val="1D395282"/>
    <w:rsid w:val="1D4251BA"/>
    <w:rsid w:val="1D551881"/>
    <w:rsid w:val="1D5959E7"/>
    <w:rsid w:val="1D5F5386"/>
    <w:rsid w:val="1D7072CE"/>
    <w:rsid w:val="1D794A16"/>
    <w:rsid w:val="1D795467"/>
    <w:rsid w:val="1D9E30A9"/>
    <w:rsid w:val="1DA142D7"/>
    <w:rsid w:val="1DA33B45"/>
    <w:rsid w:val="1DA54EF3"/>
    <w:rsid w:val="1DAB1006"/>
    <w:rsid w:val="1DB33C11"/>
    <w:rsid w:val="1DB34347"/>
    <w:rsid w:val="1DC12FD6"/>
    <w:rsid w:val="1DC65562"/>
    <w:rsid w:val="1DCE33C5"/>
    <w:rsid w:val="1DD13720"/>
    <w:rsid w:val="1DD40512"/>
    <w:rsid w:val="1DE94164"/>
    <w:rsid w:val="1DEE1B11"/>
    <w:rsid w:val="1E0112F9"/>
    <w:rsid w:val="1E0B0833"/>
    <w:rsid w:val="1E146425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4416A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CD6B66"/>
    <w:rsid w:val="1EE25FDD"/>
    <w:rsid w:val="1EF5103F"/>
    <w:rsid w:val="1EFF621F"/>
    <w:rsid w:val="1F090F9B"/>
    <w:rsid w:val="1F0E2B48"/>
    <w:rsid w:val="1F0E5D6B"/>
    <w:rsid w:val="1F1921D7"/>
    <w:rsid w:val="1F335242"/>
    <w:rsid w:val="1F3E605E"/>
    <w:rsid w:val="1F3E662A"/>
    <w:rsid w:val="1F417C0A"/>
    <w:rsid w:val="1F482412"/>
    <w:rsid w:val="1F4F2219"/>
    <w:rsid w:val="1F5D2184"/>
    <w:rsid w:val="1F614D01"/>
    <w:rsid w:val="1F721405"/>
    <w:rsid w:val="1F935819"/>
    <w:rsid w:val="1F9F1A13"/>
    <w:rsid w:val="1FA076DC"/>
    <w:rsid w:val="1FA6556D"/>
    <w:rsid w:val="1FAF2571"/>
    <w:rsid w:val="1FB7507F"/>
    <w:rsid w:val="1FC47ECF"/>
    <w:rsid w:val="1FC55EDA"/>
    <w:rsid w:val="1FC66FF1"/>
    <w:rsid w:val="1FCE593C"/>
    <w:rsid w:val="1FD175A8"/>
    <w:rsid w:val="1FD81D98"/>
    <w:rsid w:val="1FE312AC"/>
    <w:rsid w:val="1FE34925"/>
    <w:rsid w:val="1FEC5915"/>
    <w:rsid w:val="1FED32EF"/>
    <w:rsid w:val="201743BA"/>
    <w:rsid w:val="201E6D7C"/>
    <w:rsid w:val="20280BF3"/>
    <w:rsid w:val="202E2AB2"/>
    <w:rsid w:val="20355E85"/>
    <w:rsid w:val="20392DEC"/>
    <w:rsid w:val="203D340C"/>
    <w:rsid w:val="203D7ACF"/>
    <w:rsid w:val="203F0A07"/>
    <w:rsid w:val="20446081"/>
    <w:rsid w:val="204852AD"/>
    <w:rsid w:val="204E6676"/>
    <w:rsid w:val="205A5AA0"/>
    <w:rsid w:val="20677607"/>
    <w:rsid w:val="20685BC4"/>
    <w:rsid w:val="20773A28"/>
    <w:rsid w:val="20776154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B75CF"/>
    <w:rsid w:val="20DF66D2"/>
    <w:rsid w:val="20EC3F2E"/>
    <w:rsid w:val="20EC7C3E"/>
    <w:rsid w:val="20F16108"/>
    <w:rsid w:val="210548E9"/>
    <w:rsid w:val="21124D15"/>
    <w:rsid w:val="212A5BF7"/>
    <w:rsid w:val="213533EC"/>
    <w:rsid w:val="213E7119"/>
    <w:rsid w:val="214369E8"/>
    <w:rsid w:val="214D1729"/>
    <w:rsid w:val="21530058"/>
    <w:rsid w:val="216A2141"/>
    <w:rsid w:val="21774C7C"/>
    <w:rsid w:val="21810744"/>
    <w:rsid w:val="218D6EF5"/>
    <w:rsid w:val="2195668B"/>
    <w:rsid w:val="219E3719"/>
    <w:rsid w:val="219F5DD6"/>
    <w:rsid w:val="219F69EC"/>
    <w:rsid w:val="21A130EA"/>
    <w:rsid w:val="21BF60EB"/>
    <w:rsid w:val="21C11E60"/>
    <w:rsid w:val="21C267BF"/>
    <w:rsid w:val="21CC442B"/>
    <w:rsid w:val="21CD6BCD"/>
    <w:rsid w:val="21CE6067"/>
    <w:rsid w:val="21CF035F"/>
    <w:rsid w:val="21CF439A"/>
    <w:rsid w:val="21EF1B3D"/>
    <w:rsid w:val="21F00127"/>
    <w:rsid w:val="21F839AC"/>
    <w:rsid w:val="221D2FA3"/>
    <w:rsid w:val="2226635F"/>
    <w:rsid w:val="222D4F0B"/>
    <w:rsid w:val="223D7545"/>
    <w:rsid w:val="22411D14"/>
    <w:rsid w:val="22423BE1"/>
    <w:rsid w:val="22454449"/>
    <w:rsid w:val="22484763"/>
    <w:rsid w:val="22500810"/>
    <w:rsid w:val="22544814"/>
    <w:rsid w:val="22557004"/>
    <w:rsid w:val="22605C74"/>
    <w:rsid w:val="226147AE"/>
    <w:rsid w:val="226210EA"/>
    <w:rsid w:val="226347BD"/>
    <w:rsid w:val="22682935"/>
    <w:rsid w:val="227E1569"/>
    <w:rsid w:val="227E5224"/>
    <w:rsid w:val="228274AE"/>
    <w:rsid w:val="228A4698"/>
    <w:rsid w:val="229257DC"/>
    <w:rsid w:val="22925971"/>
    <w:rsid w:val="22945167"/>
    <w:rsid w:val="22A00AC0"/>
    <w:rsid w:val="22A55CD5"/>
    <w:rsid w:val="22AF2EE1"/>
    <w:rsid w:val="22C74EE2"/>
    <w:rsid w:val="22CB6237"/>
    <w:rsid w:val="22CD14B5"/>
    <w:rsid w:val="22CE62A8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3C72F1"/>
    <w:rsid w:val="234130C7"/>
    <w:rsid w:val="234449F5"/>
    <w:rsid w:val="23460DA0"/>
    <w:rsid w:val="23536618"/>
    <w:rsid w:val="236F277C"/>
    <w:rsid w:val="237216BA"/>
    <w:rsid w:val="23816932"/>
    <w:rsid w:val="23886A2D"/>
    <w:rsid w:val="238E2016"/>
    <w:rsid w:val="238F70F2"/>
    <w:rsid w:val="239C062C"/>
    <w:rsid w:val="23A9484E"/>
    <w:rsid w:val="23B32F98"/>
    <w:rsid w:val="23B36F54"/>
    <w:rsid w:val="23B84268"/>
    <w:rsid w:val="23C5553B"/>
    <w:rsid w:val="23D17D7B"/>
    <w:rsid w:val="23D36D91"/>
    <w:rsid w:val="23E344C7"/>
    <w:rsid w:val="23F70BA5"/>
    <w:rsid w:val="23F93D0D"/>
    <w:rsid w:val="240366A5"/>
    <w:rsid w:val="2405417E"/>
    <w:rsid w:val="240F5116"/>
    <w:rsid w:val="241B5C62"/>
    <w:rsid w:val="241C5F7B"/>
    <w:rsid w:val="24280875"/>
    <w:rsid w:val="24377DB7"/>
    <w:rsid w:val="243B745E"/>
    <w:rsid w:val="24427A08"/>
    <w:rsid w:val="24454B90"/>
    <w:rsid w:val="24572B1C"/>
    <w:rsid w:val="2458381E"/>
    <w:rsid w:val="245872F9"/>
    <w:rsid w:val="245943D9"/>
    <w:rsid w:val="245E6B64"/>
    <w:rsid w:val="2463385E"/>
    <w:rsid w:val="247C27F7"/>
    <w:rsid w:val="248B0DC8"/>
    <w:rsid w:val="24967323"/>
    <w:rsid w:val="249817D6"/>
    <w:rsid w:val="249D5FC8"/>
    <w:rsid w:val="24A1538E"/>
    <w:rsid w:val="24A83667"/>
    <w:rsid w:val="24AD67F4"/>
    <w:rsid w:val="24B9450F"/>
    <w:rsid w:val="24C83F94"/>
    <w:rsid w:val="24DE3A8A"/>
    <w:rsid w:val="24E7219B"/>
    <w:rsid w:val="24F60CDA"/>
    <w:rsid w:val="24FC5D1A"/>
    <w:rsid w:val="24FE42EB"/>
    <w:rsid w:val="24FE7E17"/>
    <w:rsid w:val="25040446"/>
    <w:rsid w:val="250D450C"/>
    <w:rsid w:val="25134332"/>
    <w:rsid w:val="25141A5B"/>
    <w:rsid w:val="2521546A"/>
    <w:rsid w:val="252242ED"/>
    <w:rsid w:val="2524677D"/>
    <w:rsid w:val="252920ED"/>
    <w:rsid w:val="252A2BA6"/>
    <w:rsid w:val="252B49E0"/>
    <w:rsid w:val="253F6469"/>
    <w:rsid w:val="254A35DD"/>
    <w:rsid w:val="254C7F67"/>
    <w:rsid w:val="255414CA"/>
    <w:rsid w:val="25657E8F"/>
    <w:rsid w:val="25734B61"/>
    <w:rsid w:val="25745F06"/>
    <w:rsid w:val="258F6BC4"/>
    <w:rsid w:val="25975923"/>
    <w:rsid w:val="259A3D0A"/>
    <w:rsid w:val="25A76B90"/>
    <w:rsid w:val="25A95F3E"/>
    <w:rsid w:val="25B4699E"/>
    <w:rsid w:val="25B7161F"/>
    <w:rsid w:val="25B75A0F"/>
    <w:rsid w:val="25BF43FD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47AC4"/>
    <w:rsid w:val="26070462"/>
    <w:rsid w:val="260D2C45"/>
    <w:rsid w:val="2628719C"/>
    <w:rsid w:val="26395C92"/>
    <w:rsid w:val="263F660E"/>
    <w:rsid w:val="26465DA0"/>
    <w:rsid w:val="26497858"/>
    <w:rsid w:val="264C485B"/>
    <w:rsid w:val="265A5249"/>
    <w:rsid w:val="266237C3"/>
    <w:rsid w:val="266749F2"/>
    <w:rsid w:val="267550B9"/>
    <w:rsid w:val="269C0A66"/>
    <w:rsid w:val="26B06894"/>
    <w:rsid w:val="26B431AD"/>
    <w:rsid w:val="26B654CA"/>
    <w:rsid w:val="26BC4981"/>
    <w:rsid w:val="26C472EC"/>
    <w:rsid w:val="26CB2240"/>
    <w:rsid w:val="26E11BA3"/>
    <w:rsid w:val="26E25459"/>
    <w:rsid w:val="26E71F5E"/>
    <w:rsid w:val="26EC491A"/>
    <w:rsid w:val="26ED73E1"/>
    <w:rsid w:val="26EF2570"/>
    <w:rsid w:val="26F017FB"/>
    <w:rsid w:val="26F503CD"/>
    <w:rsid w:val="26F9709F"/>
    <w:rsid w:val="26F975FC"/>
    <w:rsid w:val="2700244B"/>
    <w:rsid w:val="27036506"/>
    <w:rsid w:val="27047832"/>
    <w:rsid w:val="2706037D"/>
    <w:rsid w:val="270B14D3"/>
    <w:rsid w:val="270D152E"/>
    <w:rsid w:val="27204B5D"/>
    <w:rsid w:val="27217996"/>
    <w:rsid w:val="2724211A"/>
    <w:rsid w:val="272F31A0"/>
    <w:rsid w:val="27310CAC"/>
    <w:rsid w:val="27342901"/>
    <w:rsid w:val="27364EE3"/>
    <w:rsid w:val="273D2762"/>
    <w:rsid w:val="27432013"/>
    <w:rsid w:val="27470B72"/>
    <w:rsid w:val="275144FC"/>
    <w:rsid w:val="27525E32"/>
    <w:rsid w:val="275E7380"/>
    <w:rsid w:val="27604751"/>
    <w:rsid w:val="27624780"/>
    <w:rsid w:val="276D7707"/>
    <w:rsid w:val="277419CB"/>
    <w:rsid w:val="2778582E"/>
    <w:rsid w:val="277F0B43"/>
    <w:rsid w:val="27806765"/>
    <w:rsid w:val="27832596"/>
    <w:rsid w:val="278C1620"/>
    <w:rsid w:val="279B1E53"/>
    <w:rsid w:val="27AA3521"/>
    <w:rsid w:val="27AB0725"/>
    <w:rsid w:val="27AB7429"/>
    <w:rsid w:val="27C57B2B"/>
    <w:rsid w:val="27C8029E"/>
    <w:rsid w:val="27CC78AC"/>
    <w:rsid w:val="27D72FE7"/>
    <w:rsid w:val="27D86029"/>
    <w:rsid w:val="27DC10DD"/>
    <w:rsid w:val="27DD45ED"/>
    <w:rsid w:val="27E069FC"/>
    <w:rsid w:val="27E3651B"/>
    <w:rsid w:val="27E864CC"/>
    <w:rsid w:val="27EC25E3"/>
    <w:rsid w:val="27ED0939"/>
    <w:rsid w:val="27F1498B"/>
    <w:rsid w:val="27FF3E3E"/>
    <w:rsid w:val="28027A71"/>
    <w:rsid w:val="281500D5"/>
    <w:rsid w:val="281F2BD3"/>
    <w:rsid w:val="281F4F67"/>
    <w:rsid w:val="28315056"/>
    <w:rsid w:val="283744B4"/>
    <w:rsid w:val="284029D8"/>
    <w:rsid w:val="28423E20"/>
    <w:rsid w:val="2843297C"/>
    <w:rsid w:val="28485D62"/>
    <w:rsid w:val="284B1E95"/>
    <w:rsid w:val="285560D7"/>
    <w:rsid w:val="285B737A"/>
    <w:rsid w:val="28683649"/>
    <w:rsid w:val="28696098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CD627E"/>
    <w:rsid w:val="28D04F68"/>
    <w:rsid w:val="28E138E3"/>
    <w:rsid w:val="28E74216"/>
    <w:rsid w:val="28E87EE4"/>
    <w:rsid w:val="2903396A"/>
    <w:rsid w:val="29087976"/>
    <w:rsid w:val="290B654D"/>
    <w:rsid w:val="29124309"/>
    <w:rsid w:val="2921752E"/>
    <w:rsid w:val="294E766A"/>
    <w:rsid w:val="29513848"/>
    <w:rsid w:val="296B203C"/>
    <w:rsid w:val="297161D3"/>
    <w:rsid w:val="297510B4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277F5"/>
    <w:rsid w:val="29B35300"/>
    <w:rsid w:val="29BA0D88"/>
    <w:rsid w:val="29BA6381"/>
    <w:rsid w:val="29BB3E72"/>
    <w:rsid w:val="29CD6B73"/>
    <w:rsid w:val="29CF32B2"/>
    <w:rsid w:val="29DE15A2"/>
    <w:rsid w:val="29EC475A"/>
    <w:rsid w:val="29EF3680"/>
    <w:rsid w:val="29EF424E"/>
    <w:rsid w:val="29F45503"/>
    <w:rsid w:val="29FA7F26"/>
    <w:rsid w:val="2A074402"/>
    <w:rsid w:val="2A0A1918"/>
    <w:rsid w:val="2A144016"/>
    <w:rsid w:val="2A166823"/>
    <w:rsid w:val="2A191A5A"/>
    <w:rsid w:val="2A2E6F54"/>
    <w:rsid w:val="2A35650F"/>
    <w:rsid w:val="2A405845"/>
    <w:rsid w:val="2A45641B"/>
    <w:rsid w:val="2A496A6F"/>
    <w:rsid w:val="2A4C39E2"/>
    <w:rsid w:val="2A4D593F"/>
    <w:rsid w:val="2A58319D"/>
    <w:rsid w:val="2A5C6B8D"/>
    <w:rsid w:val="2A6E31F8"/>
    <w:rsid w:val="2A704730"/>
    <w:rsid w:val="2A836D08"/>
    <w:rsid w:val="2A87174E"/>
    <w:rsid w:val="2A8A2F9C"/>
    <w:rsid w:val="2AAC5A06"/>
    <w:rsid w:val="2ABB3D6F"/>
    <w:rsid w:val="2AC25434"/>
    <w:rsid w:val="2AC70B30"/>
    <w:rsid w:val="2ACC2AAF"/>
    <w:rsid w:val="2AD56653"/>
    <w:rsid w:val="2AD74744"/>
    <w:rsid w:val="2AD91AC2"/>
    <w:rsid w:val="2AE17EE7"/>
    <w:rsid w:val="2AE57C95"/>
    <w:rsid w:val="2AF35C8B"/>
    <w:rsid w:val="2AFA03A2"/>
    <w:rsid w:val="2B0B57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B30FC"/>
    <w:rsid w:val="2B4D5018"/>
    <w:rsid w:val="2B4D695C"/>
    <w:rsid w:val="2B514803"/>
    <w:rsid w:val="2B5E14FB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32CF3"/>
    <w:rsid w:val="2BD65380"/>
    <w:rsid w:val="2BE65E96"/>
    <w:rsid w:val="2BE725D0"/>
    <w:rsid w:val="2BE838DD"/>
    <w:rsid w:val="2BF369B9"/>
    <w:rsid w:val="2BFC0A4A"/>
    <w:rsid w:val="2C094904"/>
    <w:rsid w:val="2C0E55A1"/>
    <w:rsid w:val="2C1C1B17"/>
    <w:rsid w:val="2C210873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70676"/>
    <w:rsid w:val="2C797A76"/>
    <w:rsid w:val="2C8F4862"/>
    <w:rsid w:val="2C9E5AC8"/>
    <w:rsid w:val="2CA2721B"/>
    <w:rsid w:val="2CAC6D87"/>
    <w:rsid w:val="2CB600FC"/>
    <w:rsid w:val="2CE079AD"/>
    <w:rsid w:val="2CE8526F"/>
    <w:rsid w:val="2CEC353A"/>
    <w:rsid w:val="2CEF21C5"/>
    <w:rsid w:val="2D015187"/>
    <w:rsid w:val="2D026315"/>
    <w:rsid w:val="2D03083C"/>
    <w:rsid w:val="2D0764BD"/>
    <w:rsid w:val="2D086672"/>
    <w:rsid w:val="2D0B3169"/>
    <w:rsid w:val="2D0D4219"/>
    <w:rsid w:val="2D1E0AF2"/>
    <w:rsid w:val="2D271D68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A23D5C"/>
    <w:rsid w:val="2DB872E3"/>
    <w:rsid w:val="2DC66A91"/>
    <w:rsid w:val="2DC92AA1"/>
    <w:rsid w:val="2DCE5F69"/>
    <w:rsid w:val="2DDD4F0A"/>
    <w:rsid w:val="2E063012"/>
    <w:rsid w:val="2E1F0CF7"/>
    <w:rsid w:val="2E3118D8"/>
    <w:rsid w:val="2E34792A"/>
    <w:rsid w:val="2E437E73"/>
    <w:rsid w:val="2E5034DC"/>
    <w:rsid w:val="2E572AB9"/>
    <w:rsid w:val="2E7057C3"/>
    <w:rsid w:val="2E7258DC"/>
    <w:rsid w:val="2E79458E"/>
    <w:rsid w:val="2E797A78"/>
    <w:rsid w:val="2E7C6A94"/>
    <w:rsid w:val="2E8321A5"/>
    <w:rsid w:val="2E8945B3"/>
    <w:rsid w:val="2E8D14A8"/>
    <w:rsid w:val="2E9B7377"/>
    <w:rsid w:val="2E9F6D95"/>
    <w:rsid w:val="2EAA33F6"/>
    <w:rsid w:val="2EAE350B"/>
    <w:rsid w:val="2EB16AB5"/>
    <w:rsid w:val="2EB20A6C"/>
    <w:rsid w:val="2EBC2287"/>
    <w:rsid w:val="2EBF350E"/>
    <w:rsid w:val="2EC255A6"/>
    <w:rsid w:val="2ECA3116"/>
    <w:rsid w:val="2ED53442"/>
    <w:rsid w:val="2EDD7896"/>
    <w:rsid w:val="2EEA6E65"/>
    <w:rsid w:val="2EF31F38"/>
    <w:rsid w:val="2EF33C7C"/>
    <w:rsid w:val="2EF66AA8"/>
    <w:rsid w:val="2F00052B"/>
    <w:rsid w:val="2F0367CD"/>
    <w:rsid w:val="2F0B683E"/>
    <w:rsid w:val="2F1251F2"/>
    <w:rsid w:val="2F1B08DB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A1416"/>
    <w:rsid w:val="2FDC4A8D"/>
    <w:rsid w:val="2FDE43D5"/>
    <w:rsid w:val="2FEE50B1"/>
    <w:rsid w:val="2FF93066"/>
    <w:rsid w:val="300D4197"/>
    <w:rsid w:val="301A71CE"/>
    <w:rsid w:val="301C3E88"/>
    <w:rsid w:val="301E049B"/>
    <w:rsid w:val="302A4BE6"/>
    <w:rsid w:val="303C7735"/>
    <w:rsid w:val="304117E8"/>
    <w:rsid w:val="304478EC"/>
    <w:rsid w:val="30515C8E"/>
    <w:rsid w:val="30517245"/>
    <w:rsid w:val="305F776C"/>
    <w:rsid w:val="306C64E5"/>
    <w:rsid w:val="3091013E"/>
    <w:rsid w:val="30926F91"/>
    <w:rsid w:val="309440A1"/>
    <w:rsid w:val="30962F3E"/>
    <w:rsid w:val="30AA2585"/>
    <w:rsid w:val="30B03DC4"/>
    <w:rsid w:val="30C16A19"/>
    <w:rsid w:val="30CB5800"/>
    <w:rsid w:val="30D32236"/>
    <w:rsid w:val="30F92FE5"/>
    <w:rsid w:val="30FA7530"/>
    <w:rsid w:val="30FF2795"/>
    <w:rsid w:val="310225AA"/>
    <w:rsid w:val="310375CD"/>
    <w:rsid w:val="310B0487"/>
    <w:rsid w:val="310E6387"/>
    <w:rsid w:val="311611B3"/>
    <w:rsid w:val="311A6C35"/>
    <w:rsid w:val="31333AA3"/>
    <w:rsid w:val="313C313D"/>
    <w:rsid w:val="313F6DC6"/>
    <w:rsid w:val="314E236F"/>
    <w:rsid w:val="315E0B07"/>
    <w:rsid w:val="31604BDE"/>
    <w:rsid w:val="316065B7"/>
    <w:rsid w:val="316150DB"/>
    <w:rsid w:val="31621F46"/>
    <w:rsid w:val="316E7CA0"/>
    <w:rsid w:val="317206BF"/>
    <w:rsid w:val="317578BA"/>
    <w:rsid w:val="317932EA"/>
    <w:rsid w:val="317A1425"/>
    <w:rsid w:val="317E5000"/>
    <w:rsid w:val="31800DCC"/>
    <w:rsid w:val="31875BB4"/>
    <w:rsid w:val="318D1378"/>
    <w:rsid w:val="31996F59"/>
    <w:rsid w:val="319C0099"/>
    <w:rsid w:val="31B718F2"/>
    <w:rsid w:val="31C819E4"/>
    <w:rsid w:val="31C916F7"/>
    <w:rsid w:val="31D20051"/>
    <w:rsid w:val="31D54649"/>
    <w:rsid w:val="31E806EF"/>
    <w:rsid w:val="31EF7EE8"/>
    <w:rsid w:val="31FF1FAB"/>
    <w:rsid w:val="3201404F"/>
    <w:rsid w:val="320901F5"/>
    <w:rsid w:val="320B7CCB"/>
    <w:rsid w:val="320F12CA"/>
    <w:rsid w:val="32105DE8"/>
    <w:rsid w:val="32163AC8"/>
    <w:rsid w:val="3235187E"/>
    <w:rsid w:val="3237186B"/>
    <w:rsid w:val="323B6798"/>
    <w:rsid w:val="32470AEB"/>
    <w:rsid w:val="32537B57"/>
    <w:rsid w:val="325779E7"/>
    <w:rsid w:val="325B1D9C"/>
    <w:rsid w:val="325F618E"/>
    <w:rsid w:val="32724A5B"/>
    <w:rsid w:val="32757E99"/>
    <w:rsid w:val="32770A74"/>
    <w:rsid w:val="327D43E5"/>
    <w:rsid w:val="328F5534"/>
    <w:rsid w:val="329A6ACE"/>
    <w:rsid w:val="32A145CA"/>
    <w:rsid w:val="32A230DB"/>
    <w:rsid w:val="32BB0394"/>
    <w:rsid w:val="32CE7F7A"/>
    <w:rsid w:val="32DF351E"/>
    <w:rsid w:val="32EE5E41"/>
    <w:rsid w:val="32F40F87"/>
    <w:rsid w:val="32F549ED"/>
    <w:rsid w:val="32FD7C76"/>
    <w:rsid w:val="330C22FC"/>
    <w:rsid w:val="33277E81"/>
    <w:rsid w:val="33304A5C"/>
    <w:rsid w:val="33404DED"/>
    <w:rsid w:val="334B2535"/>
    <w:rsid w:val="33540E5D"/>
    <w:rsid w:val="33575633"/>
    <w:rsid w:val="33587D60"/>
    <w:rsid w:val="335A0521"/>
    <w:rsid w:val="335E7B11"/>
    <w:rsid w:val="336032E8"/>
    <w:rsid w:val="3364318B"/>
    <w:rsid w:val="33691888"/>
    <w:rsid w:val="336A499A"/>
    <w:rsid w:val="336F3D1A"/>
    <w:rsid w:val="33714830"/>
    <w:rsid w:val="33737F51"/>
    <w:rsid w:val="33764F61"/>
    <w:rsid w:val="337964FF"/>
    <w:rsid w:val="337D34FB"/>
    <w:rsid w:val="337E2DAF"/>
    <w:rsid w:val="33953C2E"/>
    <w:rsid w:val="339D6884"/>
    <w:rsid w:val="33A47053"/>
    <w:rsid w:val="33A5256D"/>
    <w:rsid w:val="33BF4199"/>
    <w:rsid w:val="33C47354"/>
    <w:rsid w:val="33CD6498"/>
    <w:rsid w:val="33D52499"/>
    <w:rsid w:val="33D7554F"/>
    <w:rsid w:val="33ED2B2C"/>
    <w:rsid w:val="33FB4AD5"/>
    <w:rsid w:val="33FE62E7"/>
    <w:rsid w:val="34080399"/>
    <w:rsid w:val="340D25F6"/>
    <w:rsid w:val="341E0A7E"/>
    <w:rsid w:val="34216BA7"/>
    <w:rsid w:val="3429226D"/>
    <w:rsid w:val="342B76C7"/>
    <w:rsid w:val="34341A95"/>
    <w:rsid w:val="343A1527"/>
    <w:rsid w:val="34447898"/>
    <w:rsid w:val="344E62FA"/>
    <w:rsid w:val="3472082E"/>
    <w:rsid w:val="3472234D"/>
    <w:rsid w:val="34764F43"/>
    <w:rsid w:val="347D500F"/>
    <w:rsid w:val="34830157"/>
    <w:rsid w:val="34872D27"/>
    <w:rsid w:val="348E58C4"/>
    <w:rsid w:val="349164BD"/>
    <w:rsid w:val="3499657C"/>
    <w:rsid w:val="34B65EEA"/>
    <w:rsid w:val="34BD02AE"/>
    <w:rsid w:val="34D545BA"/>
    <w:rsid w:val="34DA26A8"/>
    <w:rsid w:val="34DF00B4"/>
    <w:rsid w:val="34E56BEF"/>
    <w:rsid w:val="34E960F1"/>
    <w:rsid w:val="34F34951"/>
    <w:rsid w:val="34FD3BA4"/>
    <w:rsid w:val="350B42D5"/>
    <w:rsid w:val="350F6258"/>
    <w:rsid w:val="351A603C"/>
    <w:rsid w:val="352821F6"/>
    <w:rsid w:val="353348DC"/>
    <w:rsid w:val="3533698A"/>
    <w:rsid w:val="35387F19"/>
    <w:rsid w:val="3539550B"/>
    <w:rsid w:val="35533061"/>
    <w:rsid w:val="35553BD3"/>
    <w:rsid w:val="356678B4"/>
    <w:rsid w:val="356F0F35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D963E6"/>
    <w:rsid w:val="35DC736B"/>
    <w:rsid w:val="35ED4C4F"/>
    <w:rsid w:val="35F13CA9"/>
    <w:rsid w:val="35F23B39"/>
    <w:rsid w:val="35FF6F3C"/>
    <w:rsid w:val="36075F27"/>
    <w:rsid w:val="36121506"/>
    <w:rsid w:val="361A62E3"/>
    <w:rsid w:val="361D621A"/>
    <w:rsid w:val="361D7A43"/>
    <w:rsid w:val="361F3323"/>
    <w:rsid w:val="363B4A32"/>
    <w:rsid w:val="36402EFA"/>
    <w:rsid w:val="36496A51"/>
    <w:rsid w:val="365623F6"/>
    <w:rsid w:val="36820DFD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64E5D"/>
    <w:rsid w:val="36E93760"/>
    <w:rsid w:val="36F9022B"/>
    <w:rsid w:val="36FB4305"/>
    <w:rsid w:val="3708597F"/>
    <w:rsid w:val="3709624C"/>
    <w:rsid w:val="37096815"/>
    <w:rsid w:val="370F7060"/>
    <w:rsid w:val="371050B8"/>
    <w:rsid w:val="37134801"/>
    <w:rsid w:val="37173233"/>
    <w:rsid w:val="371C344E"/>
    <w:rsid w:val="37202311"/>
    <w:rsid w:val="37226558"/>
    <w:rsid w:val="3734159D"/>
    <w:rsid w:val="37382526"/>
    <w:rsid w:val="373B4C89"/>
    <w:rsid w:val="373F4A34"/>
    <w:rsid w:val="37503E6C"/>
    <w:rsid w:val="3758590A"/>
    <w:rsid w:val="375E77B2"/>
    <w:rsid w:val="37602E60"/>
    <w:rsid w:val="378229A7"/>
    <w:rsid w:val="3784394E"/>
    <w:rsid w:val="37856510"/>
    <w:rsid w:val="37873940"/>
    <w:rsid w:val="37944D89"/>
    <w:rsid w:val="379850C2"/>
    <w:rsid w:val="37987437"/>
    <w:rsid w:val="379F33FC"/>
    <w:rsid w:val="37A432E4"/>
    <w:rsid w:val="37A86196"/>
    <w:rsid w:val="37B173A7"/>
    <w:rsid w:val="37C94031"/>
    <w:rsid w:val="37CA042E"/>
    <w:rsid w:val="37D44549"/>
    <w:rsid w:val="37D77B09"/>
    <w:rsid w:val="37D97EDE"/>
    <w:rsid w:val="37DF2F93"/>
    <w:rsid w:val="37E76E34"/>
    <w:rsid w:val="37FE02EA"/>
    <w:rsid w:val="380D02B1"/>
    <w:rsid w:val="380F1889"/>
    <w:rsid w:val="38137C9C"/>
    <w:rsid w:val="381F4DE1"/>
    <w:rsid w:val="382B1BDF"/>
    <w:rsid w:val="382E392C"/>
    <w:rsid w:val="38342E90"/>
    <w:rsid w:val="384B7332"/>
    <w:rsid w:val="385056AF"/>
    <w:rsid w:val="38505C1D"/>
    <w:rsid w:val="38571C7D"/>
    <w:rsid w:val="38593C76"/>
    <w:rsid w:val="386A7142"/>
    <w:rsid w:val="38706DCB"/>
    <w:rsid w:val="38784056"/>
    <w:rsid w:val="38885FCC"/>
    <w:rsid w:val="388E5848"/>
    <w:rsid w:val="3896426D"/>
    <w:rsid w:val="38A058F5"/>
    <w:rsid w:val="38A341A7"/>
    <w:rsid w:val="38A75C0A"/>
    <w:rsid w:val="38B624DA"/>
    <w:rsid w:val="38BD31EE"/>
    <w:rsid w:val="38CB3BDF"/>
    <w:rsid w:val="38D33D29"/>
    <w:rsid w:val="38D41CCF"/>
    <w:rsid w:val="38D808BC"/>
    <w:rsid w:val="38E40A5B"/>
    <w:rsid w:val="38F16A28"/>
    <w:rsid w:val="38FA10A5"/>
    <w:rsid w:val="390A2E6E"/>
    <w:rsid w:val="391A3359"/>
    <w:rsid w:val="39243950"/>
    <w:rsid w:val="39285D57"/>
    <w:rsid w:val="39305263"/>
    <w:rsid w:val="394303B9"/>
    <w:rsid w:val="394B6470"/>
    <w:rsid w:val="395B1104"/>
    <w:rsid w:val="395C6EA8"/>
    <w:rsid w:val="39747EC7"/>
    <w:rsid w:val="39872512"/>
    <w:rsid w:val="39A602F9"/>
    <w:rsid w:val="39BD45C8"/>
    <w:rsid w:val="39C2316A"/>
    <w:rsid w:val="39D733F3"/>
    <w:rsid w:val="39D87563"/>
    <w:rsid w:val="39E8110F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286675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82130D"/>
    <w:rsid w:val="3A94055A"/>
    <w:rsid w:val="3AB00167"/>
    <w:rsid w:val="3ABC496A"/>
    <w:rsid w:val="3AC17E3A"/>
    <w:rsid w:val="3AC4083B"/>
    <w:rsid w:val="3ACB5746"/>
    <w:rsid w:val="3ACD76A7"/>
    <w:rsid w:val="3ACE209E"/>
    <w:rsid w:val="3ACF1A69"/>
    <w:rsid w:val="3AD14283"/>
    <w:rsid w:val="3ADD2B05"/>
    <w:rsid w:val="3AE417E3"/>
    <w:rsid w:val="3AE440AF"/>
    <w:rsid w:val="3AEE0E24"/>
    <w:rsid w:val="3AF7667E"/>
    <w:rsid w:val="3B100AE6"/>
    <w:rsid w:val="3B113F51"/>
    <w:rsid w:val="3B192990"/>
    <w:rsid w:val="3B253D7E"/>
    <w:rsid w:val="3B2965F0"/>
    <w:rsid w:val="3B2D3716"/>
    <w:rsid w:val="3B307112"/>
    <w:rsid w:val="3B354011"/>
    <w:rsid w:val="3B386133"/>
    <w:rsid w:val="3B3939FB"/>
    <w:rsid w:val="3B3E5BDD"/>
    <w:rsid w:val="3B48093E"/>
    <w:rsid w:val="3B543B9A"/>
    <w:rsid w:val="3B5A2A22"/>
    <w:rsid w:val="3B63785C"/>
    <w:rsid w:val="3B6841B0"/>
    <w:rsid w:val="3B707794"/>
    <w:rsid w:val="3B751B9A"/>
    <w:rsid w:val="3B773A0C"/>
    <w:rsid w:val="3B7804A3"/>
    <w:rsid w:val="3B8443B3"/>
    <w:rsid w:val="3B8E2153"/>
    <w:rsid w:val="3B95464E"/>
    <w:rsid w:val="3B9B2072"/>
    <w:rsid w:val="3B9F07E0"/>
    <w:rsid w:val="3BA03B83"/>
    <w:rsid w:val="3BA34296"/>
    <w:rsid w:val="3BB20883"/>
    <w:rsid w:val="3BC05BA8"/>
    <w:rsid w:val="3BC34E75"/>
    <w:rsid w:val="3BCB270F"/>
    <w:rsid w:val="3BD96AA6"/>
    <w:rsid w:val="3BDB182F"/>
    <w:rsid w:val="3BED002E"/>
    <w:rsid w:val="3C012D01"/>
    <w:rsid w:val="3C0429BF"/>
    <w:rsid w:val="3C1A201A"/>
    <w:rsid w:val="3C204D27"/>
    <w:rsid w:val="3C276807"/>
    <w:rsid w:val="3C371D4B"/>
    <w:rsid w:val="3C3865F6"/>
    <w:rsid w:val="3C3B4B9D"/>
    <w:rsid w:val="3C3E4F02"/>
    <w:rsid w:val="3C413C82"/>
    <w:rsid w:val="3C471C36"/>
    <w:rsid w:val="3C4B0140"/>
    <w:rsid w:val="3C4D66ED"/>
    <w:rsid w:val="3C5A1883"/>
    <w:rsid w:val="3C5A6B66"/>
    <w:rsid w:val="3C687D45"/>
    <w:rsid w:val="3C734413"/>
    <w:rsid w:val="3C7537FA"/>
    <w:rsid w:val="3C8620A7"/>
    <w:rsid w:val="3C8F4440"/>
    <w:rsid w:val="3C982C18"/>
    <w:rsid w:val="3C9C64EF"/>
    <w:rsid w:val="3CA734F8"/>
    <w:rsid w:val="3CA95F71"/>
    <w:rsid w:val="3CAD771B"/>
    <w:rsid w:val="3CC16893"/>
    <w:rsid w:val="3CC74223"/>
    <w:rsid w:val="3CC828D0"/>
    <w:rsid w:val="3CD5097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CF7004"/>
    <w:rsid w:val="3DDA4B31"/>
    <w:rsid w:val="3DDB67AE"/>
    <w:rsid w:val="3DE90C78"/>
    <w:rsid w:val="3DED0F96"/>
    <w:rsid w:val="3DF95812"/>
    <w:rsid w:val="3DFD28B5"/>
    <w:rsid w:val="3E1D4B24"/>
    <w:rsid w:val="3E2B1325"/>
    <w:rsid w:val="3E374A6D"/>
    <w:rsid w:val="3E3A04FA"/>
    <w:rsid w:val="3E3B1403"/>
    <w:rsid w:val="3E3D6B96"/>
    <w:rsid w:val="3E441C7D"/>
    <w:rsid w:val="3E490256"/>
    <w:rsid w:val="3E4C47D8"/>
    <w:rsid w:val="3E4E163C"/>
    <w:rsid w:val="3E4E3E8B"/>
    <w:rsid w:val="3E55739E"/>
    <w:rsid w:val="3E557A55"/>
    <w:rsid w:val="3E5E28E2"/>
    <w:rsid w:val="3E6C43C8"/>
    <w:rsid w:val="3E8227F0"/>
    <w:rsid w:val="3E8316FA"/>
    <w:rsid w:val="3E900915"/>
    <w:rsid w:val="3E9055C8"/>
    <w:rsid w:val="3E937F82"/>
    <w:rsid w:val="3E9A1443"/>
    <w:rsid w:val="3E9B4B40"/>
    <w:rsid w:val="3EB709F3"/>
    <w:rsid w:val="3EB71AC8"/>
    <w:rsid w:val="3EB93EF6"/>
    <w:rsid w:val="3EC71336"/>
    <w:rsid w:val="3EC85E34"/>
    <w:rsid w:val="3ECF2AAC"/>
    <w:rsid w:val="3ED0424C"/>
    <w:rsid w:val="3ED07B7E"/>
    <w:rsid w:val="3ED16FB1"/>
    <w:rsid w:val="3EDA522E"/>
    <w:rsid w:val="3EE63AC0"/>
    <w:rsid w:val="3EEB4E5A"/>
    <w:rsid w:val="3EF31E7F"/>
    <w:rsid w:val="3EF36DF0"/>
    <w:rsid w:val="3EFB0134"/>
    <w:rsid w:val="3F0110D6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5E304E"/>
    <w:rsid w:val="3F643908"/>
    <w:rsid w:val="3F6B75A6"/>
    <w:rsid w:val="3F6C393F"/>
    <w:rsid w:val="3F8C0A49"/>
    <w:rsid w:val="3F8E7DCD"/>
    <w:rsid w:val="3F913853"/>
    <w:rsid w:val="3F9660C3"/>
    <w:rsid w:val="3F9724DD"/>
    <w:rsid w:val="3FA827ED"/>
    <w:rsid w:val="3FB45C58"/>
    <w:rsid w:val="3FB97AA8"/>
    <w:rsid w:val="3FC36557"/>
    <w:rsid w:val="3FC956FF"/>
    <w:rsid w:val="3FCA4020"/>
    <w:rsid w:val="3FD13F50"/>
    <w:rsid w:val="3FD858EB"/>
    <w:rsid w:val="3FDC5F31"/>
    <w:rsid w:val="3FE04625"/>
    <w:rsid w:val="3FE86CE8"/>
    <w:rsid w:val="3FF82684"/>
    <w:rsid w:val="3FFB0F66"/>
    <w:rsid w:val="40146E6B"/>
    <w:rsid w:val="402C6E5E"/>
    <w:rsid w:val="402D4C90"/>
    <w:rsid w:val="403052F1"/>
    <w:rsid w:val="40321098"/>
    <w:rsid w:val="40330D29"/>
    <w:rsid w:val="40341B69"/>
    <w:rsid w:val="404469FD"/>
    <w:rsid w:val="404638C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44E44"/>
    <w:rsid w:val="40B7228C"/>
    <w:rsid w:val="40BD0DA1"/>
    <w:rsid w:val="40C25A3F"/>
    <w:rsid w:val="40CB14EF"/>
    <w:rsid w:val="40CF543F"/>
    <w:rsid w:val="40EC7D18"/>
    <w:rsid w:val="40ED11A0"/>
    <w:rsid w:val="40FA7F84"/>
    <w:rsid w:val="40FD1BF0"/>
    <w:rsid w:val="41096BC0"/>
    <w:rsid w:val="410A75B6"/>
    <w:rsid w:val="410B452A"/>
    <w:rsid w:val="411251DD"/>
    <w:rsid w:val="41146D26"/>
    <w:rsid w:val="411D1161"/>
    <w:rsid w:val="413353F1"/>
    <w:rsid w:val="4137558E"/>
    <w:rsid w:val="4146047F"/>
    <w:rsid w:val="41513BC9"/>
    <w:rsid w:val="416B4DCF"/>
    <w:rsid w:val="41735B7F"/>
    <w:rsid w:val="41810E86"/>
    <w:rsid w:val="41850830"/>
    <w:rsid w:val="4185372F"/>
    <w:rsid w:val="419658B5"/>
    <w:rsid w:val="419868AD"/>
    <w:rsid w:val="419E60D3"/>
    <w:rsid w:val="41A339F5"/>
    <w:rsid w:val="41A36C7E"/>
    <w:rsid w:val="41A40141"/>
    <w:rsid w:val="41B928D7"/>
    <w:rsid w:val="41BA3A2C"/>
    <w:rsid w:val="41BB3AE7"/>
    <w:rsid w:val="41C93F6C"/>
    <w:rsid w:val="41D540E6"/>
    <w:rsid w:val="41D71584"/>
    <w:rsid w:val="41D75714"/>
    <w:rsid w:val="41DD3BC3"/>
    <w:rsid w:val="41DE47A6"/>
    <w:rsid w:val="41E0049A"/>
    <w:rsid w:val="41E974A1"/>
    <w:rsid w:val="41EE2F03"/>
    <w:rsid w:val="41F466FD"/>
    <w:rsid w:val="41F62234"/>
    <w:rsid w:val="42002BC7"/>
    <w:rsid w:val="42026B03"/>
    <w:rsid w:val="420D197F"/>
    <w:rsid w:val="42127B33"/>
    <w:rsid w:val="4215519C"/>
    <w:rsid w:val="42187EBE"/>
    <w:rsid w:val="42192629"/>
    <w:rsid w:val="421B5C19"/>
    <w:rsid w:val="42273D8C"/>
    <w:rsid w:val="4227435A"/>
    <w:rsid w:val="4233672B"/>
    <w:rsid w:val="423F223C"/>
    <w:rsid w:val="42421B71"/>
    <w:rsid w:val="424B5824"/>
    <w:rsid w:val="424C1664"/>
    <w:rsid w:val="42574027"/>
    <w:rsid w:val="42585666"/>
    <w:rsid w:val="42616DD3"/>
    <w:rsid w:val="426973AD"/>
    <w:rsid w:val="426B4B52"/>
    <w:rsid w:val="426F56CA"/>
    <w:rsid w:val="427A67A1"/>
    <w:rsid w:val="427E0B36"/>
    <w:rsid w:val="4283283B"/>
    <w:rsid w:val="42901043"/>
    <w:rsid w:val="429B5404"/>
    <w:rsid w:val="429F4CDE"/>
    <w:rsid w:val="42A03D98"/>
    <w:rsid w:val="42A2144A"/>
    <w:rsid w:val="42A56A3F"/>
    <w:rsid w:val="42A729F1"/>
    <w:rsid w:val="42A866F4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E94F55"/>
    <w:rsid w:val="42F17BF5"/>
    <w:rsid w:val="42F2044D"/>
    <w:rsid w:val="42F8776E"/>
    <w:rsid w:val="42F87EC9"/>
    <w:rsid w:val="42FA45BF"/>
    <w:rsid w:val="430A753E"/>
    <w:rsid w:val="430E7E66"/>
    <w:rsid w:val="431E1BAC"/>
    <w:rsid w:val="43233302"/>
    <w:rsid w:val="43254465"/>
    <w:rsid w:val="4332317A"/>
    <w:rsid w:val="433246A0"/>
    <w:rsid w:val="433F6B54"/>
    <w:rsid w:val="4346543A"/>
    <w:rsid w:val="434B65FD"/>
    <w:rsid w:val="43533E29"/>
    <w:rsid w:val="435B1259"/>
    <w:rsid w:val="435C61C5"/>
    <w:rsid w:val="436263D5"/>
    <w:rsid w:val="437556C4"/>
    <w:rsid w:val="43874CD4"/>
    <w:rsid w:val="439B699F"/>
    <w:rsid w:val="43AF2D32"/>
    <w:rsid w:val="43B4592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3C61BB"/>
    <w:rsid w:val="44480935"/>
    <w:rsid w:val="444851FA"/>
    <w:rsid w:val="445873A3"/>
    <w:rsid w:val="445E4DEE"/>
    <w:rsid w:val="44640994"/>
    <w:rsid w:val="446B0434"/>
    <w:rsid w:val="44756A66"/>
    <w:rsid w:val="447A208F"/>
    <w:rsid w:val="447E4EBE"/>
    <w:rsid w:val="447F0CBA"/>
    <w:rsid w:val="448226F3"/>
    <w:rsid w:val="44957F46"/>
    <w:rsid w:val="44994CF5"/>
    <w:rsid w:val="449F21F7"/>
    <w:rsid w:val="44CC46BA"/>
    <w:rsid w:val="44DC46EB"/>
    <w:rsid w:val="44E8312D"/>
    <w:rsid w:val="44EA6491"/>
    <w:rsid w:val="44F03F8F"/>
    <w:rsid w:val="44F14ECF"/>
    <w:rsid w:val="451837D5"/>
    <w:rsid w:val="451A120C"/>
    <w:rsid w:val="45275172"/>
    <w:rsid w:val="45306C84"/>
    <w:rsid w:val="45332511"/>
    <w:rsid w:val="453F44DA"/>
    <w:rsid w:val="45412391"/>
    <w:rsid w:val="45412C46"/>
    <w:rsid w:val="45415434"/>
    <w:rsid w:val="454316E5"/>
    <w:rsid w:val="45440AD0"/>
    <w:rsid w:val="454A3E13"/>
    <w:rsid w:val="45514AD5"/>
    <w:rsid w:val="4552412E"/>
    <w:rsid w:val="455908C0"/>
    <w:rsid w:val="457002F0"/>
    <w:rsid w:val="45743BE6"/>
    <w:rsid w:val="4575513B"/>
    <w:rsid w:val="45761EDD"/>
    <w:rsid w:val="45773005"/>
    <w:rsid w:val="457A7286"/>
    <w:rsid w:val="457B06AA"/>
    <w:rsid w:val="457C7D39"/>
    <w:rsid w:val="458667C4"/>
    <w:rsid w:val="458F5163"/>
    <w:rsid w:val="45940009"/>
    <w:rsid w:val="459405E3"/>
    <w:rsid w:val="459C5A47"/>
    <w:rsid w:val="45A5284F"/>
    <w:rsid w:val="45A82F38"/>
    <w:rsid w:val="45AC19CC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0F1C96"/>
    <w:rsid w:val="46110AB3"/>
    <w:rsid w:val="46143B66"/>
    <w:rsid w:val="4615371C"/>
    <w:rsid w:val="461C2728"/>
    <w:rsid w:val="461D3EDA"/>
    <w:rsid w:val="462066D5"/>
    <w:rsid w:val="46214325"/>
    <w:rsid w:val="463246EC"/>
    <w:rsid w:val="463425D3"/>
    <w:rsid w:val="463A3547"/>
    <w:rsid w:val="463F2211"/>
    <w:rsid w:val="464514F3"/>
    <w:rsid w:val="46496045"/>
    <w:rsid w:val="464B28C8"/>
    <w:rsid w:val="464E0973"/>
    <w:rsid w:val="46555DC3"/>
    <w:rsid w:val="46560D65"/>
    <w:rsid w:val="46617DB2"/>
    <w:rsid w:val="46621065"/>
    <w:rsid w:val="46665198"/>
    <w:rsid w:val="46697236"/>
    <w:rsid w:val="46770F8B"/>
    <w:rsid w:val="467C16FA"/>
    <w:rsid w:val="467C28B2"/>
    <w:rsid w:val="46831AE2"/>
    <w:rsid w:val="46894B18"/>
    <w:rsid w:val="469448C6"/>
    <w:rsid w:val="46953B12"/>
    <w:rsid w:val="469965DF"/>
    <w:rsid w:val="469A1E62"/>
    <w:rsid w:val="46AB0067"/>
    <w:rsid w:val="46B80AF8"/>
    <w:rsid w:val="46D37F0B"/>
    <w:rsid w:val="46D71533"/>
    <w:rsid w:val="46E53335"/>
    <w:rsid w:val="46ED5319"/>
    <w:rsid w:val="46FF5C70"/>
    <w:rsid w:val="47155D89"/>
    <w:rsid w:val="473069AF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7F6C5D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7DD11F5"/>
    <w:rsid w:val="47ED307F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5A1E43"/>
    <w:rsid w:val="48602710"/>
    <w:rsid w:val="48713351"/>
    <w:rsid w:val="487620DF"/>
    <w:rsid w:val="48802846"/>
    <w:rsid w:val="488260F9"/>
    <w:rsid w:val="48850157"/>
    <w:rsid w:val="48916C74"/>
    <w:rsid w:val="48916F56"/>
    <w:rsid w:val="48971227"/>
    <w:rsid w:val="48A736CF"/>
    <w:rsid w:val="48A779B9"/>
    <w:rsid w:val="48B116EA"/>
    <w:rsid w:val="48B74C7A"/>
    <w:rsid w:val="48BE32BF"/>
    <w:rsid w:val="48C354EC"/>
    <w:rsid w:val="48C4559B"/>
    <w:rsid w:val="48C71A5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272B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7C7C92"/>
    <w:rsid w:val="498817B3"/>
    <w:rsid w:val="498A16CD"/>
    <w:rsid w:val="499C7517"/>
    <w:rsid w:val="499E07E8"/>
    <w:rsid w:val="49A14359"/>
    <w:rsid w:val="49A33C27"/>
    <w:rsid w:val="49A750B5"/>
    <w:rsid w:val="49AB1A6B"/>
    <w:rsid w:val="49BE07DA"/>
    <w:rsid w:val="49C62636"/>
    <w:rsid w:val="49C84AA0"/>
    <w:rsid w:val="49CE3923"/>
    <w:rsid w:val="49CF11BE"/>
    <w:rsid w:val="49D7694D"/>
    <w:rsid w:val="49E234CC"/>
    <w:rsid w:val="49EC3531"/>
    <w:rsid w:val="49F152D3"/>
    <w:rsid w:val="49F8312B"/>
    <w:rsid w:val="4A0244D3"/>
    <w:rsid w:val="4A0B3920"/>
    <w:rsid w:val="4A255046"/>
    <w:rsid w:val="4A276433"/>
    <w:rsid w:val="4A2E1525"/>
    <w:rsid w:val="4A3D3E88"/>
    <w:rsid w:val="4A4A538E"/>
    <w:rsid w:val="4A5A756D"/>
    <w:rsid w:val="4A5E7C7E"/>
    <w:rsid w:val="4A722B4C"/>
    <w:rsid w:val="4A785772"/>
    <w:rsid w:val="4A842E43"/>
    <w:rsid w:val="4A845C50"/>
    <w:rsid w:val="4A89105B"/>
    <w:rsid w:val="4AA341CC"/>
    <w:rsid w:val="4AA939F9"/>
    <w:rsid w:val="4AB21F2E"/>
    <w:rsid w:val="4AC13295"/>
    <w:rsid w:val="4AC31003"/>
    <w:rsid w:val="4AC40F4C"/>
    <w:rsid w:val="4ACC44B7"/>
    <w:rsid w:val="4AD25F33"/>
    <w:rsid w:val="4ADD641F"/>
    <w:rsid w:val="4ADF3B16"/>
    <w:rsid w:val="4AE072CB"/>
    <w:rsid w:val="4AE1398C"/>
    <w:rsid w:val="4AE93159"/>
    <w:rsid w:val="4AE951C1"/>
    <w:rsid w:val="4AF02EA1"/>
    <w:rsid w:val="4AF8693E"/>
    <w:rsid w:val="4AF86E0A"/>
    <w:rsid w:val="4B174032"/>
    <w:rsid w:val="4B227C49"/>
    <w:rsid w:val="4B250CF8"/>
    <w:rsid w:val="4B2873FD"/>
    <w:rsid w:val="4B2E0668"/>
    <w:rsid w:val="4B3C6133"/>
    <w:rsid w:val="4B3D4DE9"/>
    <w:rsid w:val="4B7727E1"/>
    <w:rsid w:val="4B7C4100"/>
    <w:rsid w:val="4B830F9B"/>
    <w:rsid w:val="4B8A54FE"/>
    <w:rsid w:val="4B8F2DD0"/>
    <w:rsid w:val="4B9B06E8"/>
    <w:rsid w:val="4B9B0C47"/>
    <w:rsid w:val="4B9D4011"/>
    <w:rsid w:val="4BB36BDD"/>
    <w:rsid w:val="4BB60507"/>
    <w:rsid w:val="4BC32290"/>
    <w:rsid w:val="4BD0339A"/>
    <w:rsid w:val="4BD41FD1"/>
    <w:rsid w:val="4BF23C29"/>
    <w:rsid w:val="4BF32495"/>
    <w:rsid w:val="4BF838F0"/>
    <w:rsid w:val="4BFA3FA2"/>
    <w:rsid w:val="4C065916"/>
    <w:rsid w:val="4C096C71"/>
    <w:rsid w:val="4C1269A9"/>
    <w:rsid w:val="4C1A51CC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9B5631"/>
    <w:rsid w:val="4CB836A9"/>
    <w:rsid w:val="4CB96B0F"/>
    <w:rsid w:val="4CBD582C"/>
    <w:rsid w:val="4CC82D24"/>
    <w:rsid w:val="4CCF2CDE"/>
    <w:rsid w:val="4CD84F4C"/>
    <w:rsid w:val="4CE34E9F"/>
    <w:rsid w:val="4CF52D94"/>
    <w:rsid w:val="4CFE5028"/>
    <w:rsid w:val="4D0B5968"/>
    <w:rsid w:val="4D19368B"/>
    <w:rsid w:val="4D462159"/>
    <w:rsid w:val="4D47409F"/>
    <w:rsid w:val="4D525BE3"/>
    <w:rsid w:val="4D566017"/>
    <w:rsid w:val="4D6022FC"/>
    <w:rsid w:val="4D695FF9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DF85277"/>
    <w:rsid w:val="4E024AB6"/>
    <w:rsid w:val="4E0538A3"/>
    <w:rsid w:val="4E0E6818"/>
    <w:rsid w:val="4E27683A"/>
    <w:rsid w:val="4E321D35"/>
    <w:rsid w:val="4E397241"/>
    <w:rsid w:val="4E4B2B03"/>
    <w:rsid w:val="4E4C50A3"/>
    <w:rsid w:val="4E510698"/>
    <w:rsid w:val="4E576363"/>
    <w:rsid w:val="4E5D49B1"/>
    <w:rsid w:val="4E635567"/>
    <w:rsid w:val="4E674786"/>
    <w:rsid w:val="4E6E0A65"/>
    <w:rsid w:val="4E742982"/>
    <w:rsid w:val="4E7F1E8F"/>
    <w:rsid w:val="4E7F5AF4"/>
    <w:rsid w:val="4E862481"/>
    <w:rsid w:val="4E9C0636"/>
    <w:rsid w:val="4E9D29FB"/>
    <w:rsid w:val="4EA22C4C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1137C6"/>
    <w:rsid w:val="4F285975"/>
    <w:rsid w:val="4F2A7BF3"/>
    <w:rsid w:val="4F2E2624"/>
    <w:rsid w:val="4F38184E"/>
    <w:rsid w:val="4F4E1077"/>
    <w:rsid w:val="4F546156"/>
    <w:rsid w:val="4F7C5525"/>
    <w:rsid w:val="4F7E74BF"/>
    <w:rsid w:val="4F844A99"/>
    <w:rsid w:val="4F863785"/>
    <w:rsid w:val="4F9214FD"/>
    <w:rsid w:val="4F94662C"/>
    <w:rsid w:val="4FB00163"/>
    <w:rsid w:val="4FB208E7"/>
    <w:rsid w:val="4FBF4BE3"/>
    <w:rsid w:val="4FDA6E7F"/>
    <w:rsid w:val="4FE30332"/>
    <w:rsid w:val="4FE70BB4"/>
    <w:rsid w:val="4FE73C01"/>
    <w:rsid w:val="4FE87C31"/>
    <w:rsid w:val="4FF14DCF"/>
    <w:rsid w:val="4FF85C93"/>
    <w:rsid w:val="50070D86"/>
    <w:rsid w:val="500815B6"/>
    <w:rsid w:val="500B39BC"/>
    <w:rsid w:val="500E7DCA"/>
    <w:rsid w:val="50163074"/>
    <w:rsid w:val="501939DF"/>
    <w:rsid w:val="502173F8"/>
    <w:rsid w:val="5022123F"/>
    <w:rsid w:val="502B7315"/>
    <w:rsid w:val="5035213F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22E98"/>
    <w:rsid w:val="507E1B25"/>
    <w:rsid w:val="5080610B"/>
    <w:rsid w:val="50897B2F"/>
    <w:rsid w:val="508E3B94"/>
    <w:rsid w:val="508E4492"/>
    <w:rsid w:val="5090223F"/>
    <w:rsid w:val="50924591"/>
    <w:rsid w:val="50970C08"/>
    <w:rsid w:val="50A649F5"/>
    <w:rsid w:val="50A84A74"/>
    <w:rsid w:val="50AB5EB6"/>
    <w:rsid w:val="50AE6FE2"/>
    <w:rsid w:val="50B16618"/>
    <w:rsid w:val="50BB6306"/>
    <w:rsid w:val="50C4192A"/>
    <w:rsid w:val="50C816FE"/>
    <w:rsid w:val="50CD2E4B"/>
    <w:rsid w:val="50CE0462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418CD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CF2D5C"/>
    <w:rsid w:val="51D129CA"/>
    <w:rsid w:val="51D93F8A"/>
    <w:rsid w:val="51DC16DA"/>
    <w:rsid w:val="51E5046A"/>
    <w:rsid w:val="52020133"/>
    <w:rsid w:val="520222D8"/>
    <w:rsid w:val="52272B85"/>
    <w:rsid w:val="52284E31"/>
    <w:rsid w:val="523E09B5"/>
    <w:rsid w:val="52687B2A"/>
    <w:rsid w:val="526E0E82"/>
    <w:rsid w:val="527901C6"/>
    <w:rsid w:val="528A0579"/>
    <w:rsid w:val="528F4A24"/>
    <w:rsid w:val="52944BB6"/>
    <w:rsid w:val="52A24532"/>
    <w:rsid w:val="52B3363A"/>
    <w:rsid w:val="52B668EB"/>
    <w:rsid w:val="52B91E49"/>
    <w:rsid w:val="52C4763C"/>
    <w:rsid w:val="52DE691D"/>
    <w:rsid w:val="52E04D27"/>
    <w:rsid w:val="52E16254"/>
    <w:rsid w:val="52E501E0"/>
    <w:rsid w:val="52ED0C96"/>
    <w:rsid w:val="52F53FAD"/>
    <w:rsid w:val="53061721"/>
    <w:rsid w:val="530C0E6B"/>
    <w:rsid w:val="530D1C98"/>
    <w:rsid w:val="531A5380"/>
    <w:rsid w:val="531F0245"/>
    <w:rsid w:val="53227B62"/>
    <w:rsid w:val="532F77EA"/>
    <w:rsid w:val="53367575"/>
    <w:rsid w:val="533933AA"/>
    <w:rsid w:val="533B7F54"/>
    <w:rsid w:val="535009E1"/>
    <w:rsid w:val="535321C1"/>
    <w:rsid w:val="53650168"/>
    <w:rsid w:val="536662B9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E92771"/>
    <w:rsid w:val="53F16BC7"/>
    <w:rsid w:val="53FE7128"/>
    <w:rsid w:val="541E7DB0"/>
    <w:rsid w:val="54201800"/>
    <w:rsid w:val="54247F22"/>
    <w:rsid w:val="542C29CD"/>
    <w:rsid w:val="542F1551"/>
    <w:rsid w:val="54321466"/>
    <w:rsid w:val="54381756"/>
    <w:rsid w:val="545524FD"/>
    <w:rsid w:val="545750B7"/>
    <w:rsid w:val="545A1EBF"/>
    <w:rsid w:val="54727478"/>
    <w:rsid w:val="54835E71"/>
    <w:rsid w:val="5496423C"/>
    <w:rsid w:val="5497051D"/>
    <w:rsid w:val="54A0619E"/>
    <w:rsid w:val="54A068B8"/>
    <w:rsid w:val="54AB65DC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1C7446"/>
    <w:rsid w:val="55276C59"/>
    <w:rsid w:val="552864FA"/>
    <w:rsid w:val="552A6B56"/>
    <w:rsid w:val="5532385A"/>
    <w:rsid w:val="55371339"/>
    <w:rsid w:val="55381D42"/>
    <w:rsid w:val="55401B14"/>
    <w:rsid w:val="554748F2"/>
    <w:rsid w:val="554D414C"/>
    <w:rsid w:val="554E7279"/>
    <w:rsid w:val="55594E94"/>
    <w:rsid w:val="55594FFB"/>
    <w:rsid w:val="55637CEB"/>
    <w:rsid w:val="55677DDA"/>
    <w:rsid w:val="557225B1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EC59EE"/>
    <w:rsid w:val="55F06771"/>
    <w:rsid w:val="55FB5191"/>
    <w:rsid w:val="560378AC"/>
    <w:rsid w:val="560D5F48"/>
    <w:rsid w:val="56103377"/>
    <w:rsid w:val="56106284"/>
    <w:rsid w:val="5632642A"/>
    <w:rsid w:val="56375B61"/>
    <w:rsid w:val="564944F4"/>
    <w:rsid w:val="564D4C5B"/>
    <w:rsid w:val="564E5820"/>
    <w:rsid w:val="56594C9E"/>
    <w:rsid w:val="56630C00"/>
    <w:rsid w:val="56687250"/>
    <w:rsid w:val="567739D2"/>
    <w:rsid w:val="56775A0A"/>
    <w:rsid w:val="567F6E75"/>
    <w:rsid w:val="5686536D"/>
    <w:rsid w:val="568B1DB1"/>
    <w:rsid w:val="569600BA"/>
    <w:rsid w:val="56A55214"/>
    <w:rsid w:val="56A67978"/>
    <w:rsid w:val="56AC63C5"/>
    <w:rsid w:val="56C008D5"/>
    <w:rsid w:val="56C1700B"/>
    <w:rsid w:val="56C34302"/>
    <w:rsid w:val="56C35508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1A1955"/>
    <w:rsid w:val="572657E3"/>
    <w:rsid w:val="5732705F"/>
    <w:rsid w:val="57351D6F"/>
    <w:rsid w:val="57454F4D"/>
    <w:rsid w:val="57466C3E"/>
    <w:rsid w:val="574F4CF2"/>
    <w:rsid w:val="576476C1"/>
    <w:rsid w:val="576F457F"/>
    <w:rsid w:val="57724CC0"/>
    <w:rsid w:val="57770501"/>
    <w:rsid w:val="577B3337"/>
    <w:rsid w:val="577D4F28"/>
    <w:rsid w:val="577D7163"/>
    <w:rsid w:val="5782068C"/>
    <w:rsid w:val="57877FD2"/>
    <w:rsid w:val="578F4D33"/>
    <w:rsid w:val="57996949"/>
    <w:rsid w:val="57A33734"/>
    <w:rsid w:val="57AB6ADD"/>
    <w:rsid w:val="57AC2A28"/>
    <w:rsid w:val="57B7178E"/>
    <w:rsid w:val="57B76EED"/>
    <w:rsid w:val="57BD72A7"/>
    <w:rsid w:val="57BE5838"/>
    <w:rsid w:val="57D16146"/>
    <w:rsid w:val="57D82354"/>
    <w:rsid w:val="57EB3AC0"/>
    <w:rsid w:val="57EB6DC4"/>
    <w:rsid w:val="57FC07D9"/>
    <w:rsid w:val="57FD7F73"/>
    <w:rsid w:val="57FF6992"/>
    <w:rsid w:val="580B408B"/>
    <w:rsid w:val="580F1B21"/>
    <w:rsid w:val="58191E63"/>
    <w:rsid w:val="581B7E79"/>
    <w:rsid w:val="58500F22"/>
    <w:rsid w:val="58510734"/>
    <w:rsid w:val="58527FAB"/>
    <w:rsid w:val="58587379"/>
    <w:rsid w:val="586D57A3"/>
    <w:rsid w:val="587917A0"/>
    <w:rsid w:val="587A4288"/>
    <w:rsid w:val="587B662F"/>
    <w:rsid w:val="5880052B"/>
    <w:rsid w:val="588E76C9"/>
    <w:rsid w:val="589571D3"/>
    <w:rsid w:val="58AD27D9"/>
    <w:rsid w:val="58AD42B1"/>
    <w:rsid w:val="58B169A2"/>
    <w:rsid w:val="58B6512E"/>
    <w:rsid w:val="58B9636C"/>
    <w:rsid w:val="58C37133"/>
    <w:rsid w:val="58C93046"/>
    <w:rsid w:val="58D36BCB"/>
    <w:rsid w:val="58D643B4"/>
    <w:rsid w:val="58D7351E"/>
    <w:rsid w:val="58E6349C"/>
    <w:rsid w:val="58EF63EE"/>
    <w:rsid w:val="590317F0"/>
    <w:rsid w:val="59075000"/>
    <w:rsid w:val="591878D4"/>
    <w:rsid w:val="592A35DE"/>
    <w:rsid w:val="593559FD"/>
    <w:rsid w:val="594079B2"/>
    <w:rsid w:val="59410047"/>
    <w:rsid w:val="594B10BF"/>
    <w:rsid w:val="594E7013"/>
    <w:rsid w:val="59522196"/>
    <w:rsid w:val="596726D9"/>
    <w:rsid w:val="596833A7"/>
    <w:rsid w:val="596A688E"/>
    <w:rsid w:val="59835A6C"/>
    <w:rsid w:val="59843114"/>
    <w:rsid w:val="5987482A"/>
    <w:rsid w:val="598C6F19"/>
    <w:rsid w:val="59931352"/>
    <w:rsid w:val="599B1691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55223"/>
    <w:rsid w:val="59F70BAF"/>
    <w:rsid w:val="5A023A34"/>
    <w:rsid w:val="5A0F52D4"/>
    <w:rsid w:val="5A1A17BB"/>
    <w:rsid w:val="5A297D0D"/>
    <w:rsid w:val="5A3C0F08"/>
    <w:rsid w:val="5A3E5B83"/>
    <w:rsid w:val="5A4440A8"/>
    <w:rsid w:val="5A4B5B7A"/>
    <w:rsid w:val="5A5663A3"/>
    <w:rsid w:val="5A571746"/>
    <w:rsid w:val="5A6253E3"/>
    <w:rsid w:val="5A6667DB"/>
    <w:rsid w:val="5A8E6670"/>
    <w:rsid w:val="5A912613"/>
    <w:rsid w:val="5A923F1B"/>
    <w:rsid w:val="5A9245E9"/>
    <w:rsid w:val="5A953D41"/>
    <w:rsid w:val="5A9A4D4B"/>
    <w:rsid w:val="5AB633E6"/>
    <w:rsid w:val="5AB7018B"/>
    <w:rsid w:val="5ABC50F4"/>
    <w:rsid w:val="5AC772C5"/>
    <w:rsid w:val="5ACC4940"/>
    <w:rsid w:val="5AD66153"/>
    <w:rsid w:val="5AD86A6D"/>
    <w:rsid w:val="5AE62B68"/>
    <w:rsid w:val="5AE954C2"/>
    <w:rsid w:val="5AEA6146"/>
    <w:rsid w:val="5AEA6A34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95A92"/>
    <w:rsid w:val="5B4D1F7C"/>
    <w:rsid w:val="5B564EFB"/>
    <w:rsid w:val="5B583BEB"/>
    <w:rsid w:val="5B6667A3"/>
    <w:rsid w:val="5B66707B"/>
    <w:rsid w:val="5B673066"/>
    <w:rsid w:val="5B690719"/>
    <w:rsid w:val="5B6A48A8"/>
    <w:rsid w:val="5B731FA9"/>
    <w:rsid w:val="5B785E83"/>
    <w:rsid w:val="5B7C1CD1"/>
    <w:rsid w:val="5B882E2D"/>
    <w:rsid w:val="5B9004A9"/>
    <w:rsid w:val="5B907C6C"/>
    <w:rsid w:val="5B9251EF"/>
    <w:rsid w:val="5BAB5BC4"/>
    <w:rsid w:val="5BB20B74"/>
    <w:rsid w:val="5BC677D8"/>
    <w:rsid w:val="5BC82981"/>
    <w:rsid w:val="5BE1570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3C1AE5"/>
    <w:rsid w:val="5C4A34F9"/>
    <w:rsid w:val="5C4C2CF4"/>
    <w:rsid w:val="5C5A7F10"/>
    <w:rsid w:val="5C6422CD"/>
    <w:rsid w:val="5C6B1600"/>
    <w:rsid w:val="5C7D70D1"/>
    <w:rsid w:val="5C8542A8"/>
    <w:rsid w:val="5C9F41E0"/>
    <w:rsid w:val="5CA6294E"/>
    <w:rsid w:val="5CA92DD2"/>
    <w:rsid w:val="5CAC6214"/>
    <w:rsid w:val="5CAF2FDA"/>
    <w:rsid w:val="5CBA57B4"/>
    <w:rsid w:val="5CDB241D"/>
    <w:rsid w:val="5CDB3358"/>
    <w:rsid w:val="5CED4E0C"/>
    <w:rsid w:val="5CF24FFA"/>
    <w:rsid w:val="5CF52268"/>
    <w:rsid w:val="5CF71C69"/>
    <w:rsid w:val="5CFC4F36"/>
    <w:rsid w:val="5D034EE9"/>
    <w:rsid w:val="5D0366E8"/>
    <w:rsid w:val="5D07265B"/>
    <w:rsid w:val="5D08684C"/>
    <w:rsid w:val="5D09481A"/>
    <w:rsid w:val="5D0A06B6"/>
    <w:rsid w:val="5D1307E8"/>
    <w:rsid w:val="5D1D34D1"/>
    <w:rsid w:val="5D212A05"/>
    <w:rsid w:val="5D28584C"/>
    <w:rsid w:val="5D2F4802"/>
    <w:rsid w:val="5D3444E6"/>
    <w:rsid w:val="5D3F0BDF"/>
    <w:rsid w:val="5D4A529A"/>
    <w:rsid w:val="5D5B7098"/>
    <w:rsid w:val="5D634782"/>
    <w:rsid w:val="5D654194"/>
    <w:rsid w:val="5D676A87"/>
    <w:rsid w:val="5D6A7C12"/>
    <w:rsid w:val="5D6E1B86"/>
    <w:rsid w:val="5D725A84"/>
    <w:rsid w:val="5D767D63"/>
    <w:rsid w:val="5D787085"/>
    <w:rsid w:val="5D8A2CFF"/>
    <w:rsid w:val="5D903810"/>
    <w:rsid w:val="5D926D13"/>
    <w:rsid w:val="5D960EE9"/>
    <w:rsid w:val="5D9A0CFA"/>
    <w:rsid w:val="5D9B296A"/>
    <w:rsid w:val="5D9C1943"/>
    <w:rsid w:val="5DA53D05"/>
    <w:rsid w:val="5DB3275D"/>
    <w:rsid w:val="5DB968D6"/>
    <w:rsid w:val="5DBF50E8"/>
    <w:rsid w:val="5DCC4C76"/>
    <w:rsid w:val="5DCC73F7"/>
    <w:rsid w:val="5DD14397"/>
    <w:rsid w:val="5DD3123F"/>
    <w:rsid w:val="5DD45E00"/>
    <w:rsid w:val="5DD71C7A"/>
    <w:rsid w:val="5DD734EC"/>
    <w:rsid w:val="5DDA4F5F"/>
    <w:rsid w:val="5DE4727B"/>
    <w:rsid w:val="5DE83E9E"/>
    <w:rsid w:val="5DEB2EC0"/>
    <w:rsid w:val="5DEC05A1"/>
    <w:rsid w:val="5DEE0433"/>
    <w:rsid w:val="5DFD51DB"/>
    <w:rsid w:val="5E0B0848"/>
    <w:rsid w:val="5E0D2553"/>
    <w:rsid w:val="5E0F1B60"/>
    <w:rsid w:val="5E104696"/>
    <w:rsid w:val="5E12464A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70AC9"/>
    <w:rsid w:val="5E6A5399"/>
    <w:rsid w:val="5E704921"/>
    <w:rsid w:val="5E71373F"/>
    <w:rsid w:val="5E717191"/>
    <w:rsid w:val="5E761147"/>
    <w:rsid w:val="5E812F0A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3227D"/>
    <w:rsid w:val="5ECA3D37"/>
    <w:rsid w:val="5EE153F8"/>
    <w:rsid w:val="5EED7893"/>
    <w:rsid w:val="5EFB2125"/>
    <w:rsid w:val="5EFB6F0A"/>
    <w:rsid w:val="5F0279C4"/>
    <w:rsid w:val="5F043765"/>
    <w:rsid w:val="5F0A3A61"/>
    <w:rsid w:val="5F1E1D1D"/>
    <w:rsid w:val="5F28007C"/>
    <w:rsid w:val="5F3370DF"/>
    <w:rsid w:val="5F351942"/>
    <w:rsid w:val="5F395DFE"/>
    <w:rsid w:val="5F3B6ED3"/>
    <w:rsid w:val="5F45020C"/>
    <w:rsid w:val="5F495527"/>
    <w:rsid w:val="5F5D4AA6"/>
    <w:rsid w:val="5F683B6E"/>
    <w:rsid w:val="5F875C0C"/>
    <w:rsid w:val="5F8F0B9E"/>
    <w:rsid w:val="5F8F267A"/>
    <w:rsid w:val="5F9B2DD0"/>
    <w:rsid w:val="5FA516DE"/>
    <w:rsid w:val="5FB30BD5"/>
    <w:rsid w:val="5FB7185B"/>
    <w:rsid w:val="5FB94C48"/>
    <w:rsid w:val="5FDB52C1"/>
    <w:rsid w:val="5FDE0AD6"/>
    <w:rsid w:val="5FDE327E"/>
    <w:rsid w:val="5FE51B4C"/>
    <w:rsid w:val="5FE80C27"/>
    <w:rsid w:val="5FF37587"/>
    <w:rsid w:val="5FF545E2"/>
    <w:rsid w:val="5FFE57B7"/>
    <w:rsid w:val="60060CD5"/>
    <w:rsid w:val="60085AA3"/>
    <w:rsid w:val="600E362B"/>
    <w:rsid w:val="600F12A5"/>
    <w:rsid w:val="60183392"/>
    <w:rsid w:val="601A4CB1"/>
    <w:rsid w:val="601B56CB"/>
    <w:rsid w:val="602C236D"/>
    <w:rsid w:val="603514E5"/>
    <w:rsid w:val="603967D7"/>
    <w:rsid w:val="603D3325"/>
    <w:rsid w:val="604040A8"/>
    <w:rsid w:val="60443CFE"/>
    <w:rsid w:val="60470CE3"/>
    <w:rsid w:val="604743E7"/>
    <w:rsid w:val="6057218F"/>
    <w:rsid w:val="605F4F5D"/>
    <w:rsid w:val="606711B4"/>
    <w:rsid w:val="60673C40"/>
    <w:rsid w:val="606A52D4"/>
    <w:rsid w:val="607C3753"/>
    <w:rsid w:val="60895CED"/>
    <w:rsid w:val="608A554D"/>
    <w:rsid w:val="608D1D4E"/>
    <w:rsid w:val="608D7975"/>
    <w:rsid w:val="6092569C"/>
    <w:rsid w:val="6093187E"/>
    <w:rsid w:val="60A862C5"/>
    <w:rsid w:val="60AA5A82"/>
    <w:rsid w:val="60AD0357"/>
    <w:rsid w:val="60B004BE"/>
    <w:rsid w:val="60B7482E"/>
    <w:rsid w:val="60B81012"/>
    <w:rsid w:val="60BA604C"/>
    <w:rsid w:val="60C00FA9"/>
    <w:rsid w:val="60C302BA"/>
    <w:rsid w:val="60C30855"/>
    <w:rsid w:val="60C338B1"/>
    <w:rsid w:val="60C56EFB"/>
    <w:rsid w:val="60CE3FE0"/>
    <w:rsid w:val="60D4742F"/>
    <w:rsid w:val="60D95276"/>
    <w:rsid w:val="60E06DEB"/>
    <w:rsid w:val="60E51841"/>
    <w:rsid w:val="60E7738A"/>
    <w:rsid w:val="60F90C00"/>
    <w:rsid w:val="61110088"/>
    <w:rsid w:val="6121108E"/>
    <w:rsid w:val="61421EFD"/>
    <w:rsid w:val="61457124"/>
    <w:rsid w:val="61507CAF"/>
    <w:rsid w:val="615C5041"/>
    <w:rsid w:val="61631B5D"/>
    <w:rsid w:val="617874FC"/>
    <w:rsid w:val="617A6EE7"/>
    <w:rsid w:val="617E7C88"/>
    <w:rsid w:val="6182260C"/>
    <w:rsid w:val="61996169"/>
    <w:rsid w:val="619B60ED"/>
    <w:rsid w:val="61A773BF"/>
    <w:rsid w:val="61AD68BC"/>
    <w:rsid w:val="61AE5BE1"/>
    <w:rsid w:val="61B173D2"/>
    <w:rsid w:val="61D43510"/>
    <w:rsid w:val="61D43A2B"/>
    <w:rsid w:val="61E34474"/>
    <w:rsid w:val="61FF316E"/>
    <w:rsid w:val="621542CB"/>
    <w:rsid w:val="62172EDA"/>
    <w:rsid w:val="62363666"/>
    <w:rsid w:val="623E513D"/>
    <w:rsid w:val="623F0B7F"/>
    <w:rsid w:val="624263A2"/>
    <w:rsid w:val="625272C3"/>
    <w:rsid w:val="6260007B"/>
    <w:rsid w:val="626C6A69"/>
    <w:rsid w:val="626F629C"/>
    <w:rsid w:val="62715337"/>
    <w:rsid w:val="6280204D"/>
    <w:rsid w:val="6284246C"/>
    <w:rsid w:val="628C09CD"/>
    <w:rsid w:val="6290769B"/>
    <w:rsid w:val="6293469C"/>
    <w:rsid w:val="62943D08"/>
    <w:rsid w:val="62975EC2"/>
    <w:rsid w:val="62A05735"/>
    <w:rsid w:val="62A411F8"/>
    <w:rsid w:val="62A81340"/>
    <w:rsid w:val="62A81A26"/>
    <w:rsid w:val="62A847ED"/>
    <w:rsid w:val="62AD4C85"/>
    <w:rsid w:val="62BA7A46"/>
    <w:rsid w:val="62C376AC"/>
    <w:rsid w:val="62CE13CB"/>
    <w:rsid w:val="62D2197B"/>
    <w:rsid w:val="62DB028F"/>
    <w:rsid w:val="62F05276"/>
    <w:rsid w:val="62F6011A"/>
    <w:rsid w:val="62FD2BA9"/>
    <w:rsid w:val="630C6A8F"/>
    <w:rsid w:val="6327422B"/>
    <w:rsid w:val="6328597C"/>
    <w:rsid w:val="632F2F8E"/>
    <w:rsid w:val="63314C2A"/>
    <w:rsid w:val="633B249F"/>
    <w:rsid w:val="63552D76"/>
    <w:rsid w:val="6359778B"/>
    <w:rsid w:val="635B63E3"/>
    <w:rsid w:val="63654417"/>
    <w:rsid w:val="636A48AB"/>
    <w:rsid w:val="638C3395"/>
    <w:rsid w:val="63927E66"/>
    <w:rsid w:val="639C2AFB"/>
    <w:rsid w:val="63A163DD"/>
    <w:rsid w:val="63B82D87"/>
    <w:rsid w:val="63BA3154"/>
    <w:rsid w:val="63C948C4"/>
    <w:rsid w:val="63CA2E8B"/>
    <w:rsid w:val="63D4153E"/>
    <w:rsid w:val="63DC7755"/>
    <w:rsid w:val="63E05970"/>
    <w:rsid w:val="63E43D21"/>
    <w:rsid w:val="63E97377"/>
    <w:rsid w:val="63EA4DF9"/>
    <w:rsid w:val="63F47D2A"/>
    <w:rsid w:val="63FE2D33"/>
    <w:rsid w:val="64046427"/>
    <w:rsid w:val="641461CF"/>
    <w:rsid w:val="64202F9E"/>
    <w:rsid w:val="64264A79"/>
    <w:rsid w:val="64290161"/>
    <w:rsid w:val="642D0D23"/>
    <w:rsid w:val="64304E58"/>
    <w:rsid w:val="64311867"/>
    <w:rsid w:val="64391ED3"/>
    <w:rsid w:val="64426B0C"/>
    <w:rsid w:val="6445632E"/>
    <w:rsid w:val="644D3D02"/>
    <w:rsid w:val="645C7EA7"/>
    <w:rsid w:val="64742B63"/>
    <w:rsid w:val="647E661E"/>
    <w:rsid w:val="648939AA"/>
    <w:rsid w:val="64897A59"/>
    <w:rsid w:val="648C635C"/>
    <w:rsid w:val="64927F4F"/>
    <w:rsid w:val="649B1AC2"/>
    <w:rsid w:val="64A7467B"/>
    <w:rsid w:val="64B53322"/>
    <w:rsid w:val="64C61AF8"/>
    <w:rsid w:val="64C70058"/>
    <w:rsid w:val="64C86505"/>
    <w:rsid w:val="64EC5D31"/>
    <w:rsid w:val="64F132B2"/>
    <w:rsid w:val="64FE700F"/>
    <w:rsid w:val="6500327F"/>
    <w:rsid w:val="6506609B"/>
    <w:rsid w:val="65083216"/>
    <w:rsid w:val="6508621E"/>
    <w:rsid w:val="65092761"/>
    <w:rsid w:val="653300A4"/>
    <w:rsid w:val="65460728"/>
    <w:rsid w:val="655A04C2"/>
    <w:rsid w:val="65741425"/>
    <w:rsid w:val="65787DED"/>
    <w:rsid w:val="65805F51"/>
    <w:rsid w:val="65822810"/>
    <w:rsid w:val="65870C45"/>
    <w:rsid w:val="65961885"/>
    <w:rsid w:val="659705FF"/>
    <w:rsid w:val="65A5156E"/>
    <w:rsid w:val="65A671FC"/>
    <w:rsid w:val="65AA6346"/>
    <w:rsid w:val="65B07458"/>
    <w:rsid w:val="65B51269"/>
    <w:rsid w:val="65B56C47"/>
    <w:rsid w:val="65B8262E"/>
    <w:rsid w:val="65BC15EE"/>
    <w:rsid w:val="65D21E90"/>
    <w:rsid w:val="65D23D59"/>
    <w:rsid w:val="65D4773F"/>
    <w:rsid w:val="65DC5939"/>
    <w:rsid w:val="65DC7985"/>
    <w:rsid w:val="65E671BD"/>
    <w:rsid w:val="65F14641"/>
    <w:rsid w:val="65F5655C"/>
    <w:rsid w:val="65F64F18"/>
    <w:rsid w:val="66052F43"/>
    <w:rsid w:val="6609487E"/>
    <w:rsid w:val="66143184"/>
    <w:rsid w:val="661D25CE"/>
    <w:rsid w:val="66206CF2"/>
    <w:rsid w:val="66244029"/>
    <w:rsid w:val="66265846"/>
    <w:rsid w:val="66287C9C"/>
    <w:rsid w:val="662D4566"/>
    <w:rsid w:val="662E4097"/>
    <w:rsid w:val="664470E3"/>
    <w:rsid w:val="66475F5D"/>
    <w:rsid w:val="664805B8"/>
    <w:rsid w:val="665572E9"/>
    <w:rsid w:val="665A078F"/>
    <w:rsid w:val="665B55EA"/>
    <w:rsid w:val="66641D58"/>
    <w:rsid w:val="66655F85"/>
    <w:rsid w:val="667C7AEC"/>
    <w:rsid w:val="66847466"/>
    <w:rsid w:val="66863A0F"/>
    <w:rsid w:val="668D465E"/>
    <w:rsid w:val="66984358"/>
    <w:rsid w:val="669903D3"/>
    <w:rsid w:val="669B7C76"/>
    <w:rsid w:val="669D04F1"/>
    <w:rsid w:val="66A200F8"/>
    <w:rsid w:val="66A30EC2"/>
    <w:rsid w:val="66A31FD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578AF"/>
    <w:rsid w:val="671B1631"/>
    <w:rsid w:val="6721093A"/>
    <w:rsid w:val="672514BE"/>
    <w:rsid w:val="67302DC3"/>
    <w:rsid w:val="673762BE"/>
    <w:rsid w:val="674318B2"/>
    <w:rsid w:val="674D4B22"/>
    <w:rsid w:val="67570422"/>
    <w:rsid w:val="675D31B4"/>
    <w:rsid w:val="675D63FF"/>
    <w:rsid w:val="676B3A19"/>
    <w:rsid w:val="676D2F4B"/>
    <w:rsid w:val="677A266A"/>
    <w:rsid w:val="677C1A81"/>
    <w:rsid w:val="677E7198"/>
    <w:rsid w:val="67871AEB"/>
    <w:rsid w:val="678A426A"/>
    <w:rsid w:val="67914BE1"/>
    <w:rsid w:val="67984863"/>
    <w:rsid w:val="67A01F16"/>
    <w:rsid w:val="67B163D1"/>
    <w:rsid w:val="67CA69AB"/>
    <w:rsid w:val="67EF299C"/>
    <w:rsid w:val="67F45538"/>
    <w:rsid w:val="67F66B9D"/>
    <w:rsid w:val="680239EB"/>
    <w:rsid w:val="680722DA"/>
    <w:rsid w:val="6809309C"/>
    <w:rsid w:val="68120E37"/>
    <w:rsid w:val="681306CB"/>
    <w:rsid w:val="682211D1"/>
    <w:rsid w:val="684B40A8"/>
    <w:rsid w:val="685B4737"/>
    <w:rsid w:val="685C6395"/>
    <w:rsid w:val="686318DD"/>
    <w:rsid w:val="68635145"/>
    <w:rsid w:val="687F607E"/>
    <w:rsid w:val="688C4213"/>
    <w:rsid w:val="688D4D1E"/>
    <w:rsid w:val="68916B30"/>
    <w:rsid w:val="68950378"/>
    <w:rsid w:val="68984999"/>
    <w:rsid w:val="689A41FB"/>
    <w:rsid w:val="689C2BAE"/>
    <w:rsid w:val="689E57F0"/>
    <w:rsid w:val="68A34C5C"/>
    <w:rsid w:val="68B44788"/>
    <w:rsid w:val="68B96277"/>
    <w:rsid w:val="68C66268"/>
    <w:rsid w:val="68C8327F"/>
    <w:rsid w:val="68DF0626"/>
    <w:rsid w:val="68E16F33"/>
    <w:rsid w:val="68E24981"/>
    <w:rsid w:val="68E95F71"/>
    <w:rsid w:val="690218CF"/>
    <w:rsid w:val="69033A72"/>
    <w:rsid w:val="69093C6F"/>
    <w:rsid w:val="690A6A65"/>
    <w:rsid w:val="69123F86"/>
    <w:rsid w:val="69155827"/>
    <w:rsid w:val="69164A76"/>
    <w:rsid w:val="691C1D81"/>
    <w:rsid w:val="691C3525"/>
    <w:rsid w:val="691D1B71"/>
    <w:rsid w:val="69216128"/>
    <w:rsid w:val="69280874"/>
    <w:rsid w:val="69335905"/>
    <w:rsid w:val="69360BE5"/>
    <w:rsid w:val="695D6B21"/>
    <w:rsid w:val="69611EE7"/>
    <w:rsid w:val="696C708E"/>
    <w:rsid w:val="696F4D5D"/>
    <w:rsid w:val="697308AB"/>
    <w:rsid w:val="69850877"/>
    <w:rsid w:val="69895442"/>
    <w:rsid w:val="698C13C5"/>
    <w:rsid w:val="69BC3ADF"/>
    <w:rsid w:val="69D306AC"/>
    <w:rsid w:val="69D34F66"/>
    <w:rsid w:val="69E00E47"/>
    <w:rsid w:val="69EC6D9F"/>
    <w:rsid w:val="69F0745A"/>
    <w:rsid w:val="69F66961"/>
    <w:rsid w:val="6A0961EA"/>
    <w:rsid w:val="6A0D20F2"/>
    <w:rsid w:val="6A1742A1"/>
    <w:rsid w:val="6A1C4CE3"/>
    <w:rsid w:val="6A1D59EC"/>
    <w:rsid w:val="6A2353D4"/>
    <w:rsid w:val="6A247F72"/>
    <w:rsid w:val="6A3E2393"/>
    <w:rsid w:val="6A435B92"/>
    <w:rsid w:val="6A444DB8"/>
    <w:rsid w:val="6A4D4828"/>
    <w:rsid w:val="6A4D6D96"/>
    <w:rsid w:val="6A516AC3"/>
    <w:rsid w:val="6A5303BA"/>
    <w:rsid w:val="6A5F3F1C"/>
    <w:rsid w:val="6A677080"/>
    <w:rsid w:val="6A6C5C1E"/>
    <w:rsid w:val="6A711183"/>
    <w:rsid w:val="6A7468D5"/>
    <w:rsid w:val="6A790E3A"/>
    <w:rsid w:val="6A7B4B9C"/>
    <w:rsid w:val="6A84768F"/>
    <w:rsid w:val="6A917541"/>
    <w:rsid w:val="6A9C00F5"/>
    <w:rsid w:val="6AA35330"/>
    <w:rsid w:val="6AAC0B91"/>
    <w:rsid w:val="6AAF014C"/>
    <w:rsid w:val="6AC07690"/>
    <w:rsid w:val="6ACB082B"/>
    <w:rsid w:val="6AD3247E"/>
    <w:rsid w:val="6AD716BA"/>
    <w:rsid w:val="6AE21187"/>
    <w:rsid w:val="6AE4699C"/>
    <w:rsid w:val="6AF124EA"/>
    <w:rsid w:val="6AF317C6"/>
    <w:rsid w:val="6AF64D9A"/>
    <w:rsid w:val="6B09696B"/>
    <w:rsid w:val="6B1235B7"/>
    <w:rsid w:val="6B127D23"/>
    <w:rsid w:val="6B2167BD"/>
    <w:rsid w:val="6B2B0EFD"/>
    <w:rsid w:val="6B2C13E4"/>
    <w:rsid w:val="6B2D2EEB"/>
    <w:rsid w:val="6B346460"/>
    <w:rsid w:val="6B373CEA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961E42"/>
    <w:rsid w:val="6BA6663C"/>
    <w:rsid w:val="6BA9194F"/>
    <w:rsid w:val="6BB81A6C"/>
    <w:rsid w:val="6BE51CE3"/>
    <w:rsid w:val="6BE622E5"/>
    <w:rsid w:val="6BE727F5"/>
    <w:rsid w:val="6C0858B3"/>
    <w:rsid w:val="6C1134DA"/>
    <w:rsid w:val="6C240DF3"/>
    <w:rsid w:val="6C41527C"/>
    <w:rsid w:val="6C45610F"/>
    <w:rsid w:val="6C550EC6"/>
    <w:rsid w:val="6C59472D"/>
    <w:rsid w:val="6C5A4564"/>
    <w:rsid w:val="6C5E0510"/>
    <w:rsid w:val="6C603744"/>
    <w:rsid w:val="6C610784"/>
    <w:rsid w:val="6C637CCF"/>
    <w:rsid w:val="6C731C6C"/>
    <w:rsid w:val="6C733992"/>
    <w:rsid w:val="6C7802EB"/>
    <w:rsid w:val="6C89456C"/>
    <w:rsid w:val="6C9611B5"/>
    <w:rsid w:val="6CA20D5B"/>
    <w:rsid w:val="6CB71894"/>
    <w:rsid w:val="6CD431E3"/>
    <w:rsid w:val="6CD50C99"/>
    <w:rsid w:val="6CD63FB3"/>
    <w:rsid w:val="6CDD06CC"/>
    <w:rsid w:val="6CDF2E4F"/>
    <w:rsid w:val="6CFE035F"/>
    <w:rsid w:val="6CFF5623"/>
    <w:rsid w:val="6D056EA6"/>
    <w:rsid w:val="6D13119B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74AC3"/>
    <w:rsid w:val="6D89784B"/>
    <w:rsid w:val="6D9057BE"/>
    <w:rsid w:val="6D9E0566"/>
    <w:rsid w:val="6DB10625"/>
    <w:rsid w:val="6DBE7F27"/>
    <w:rsid w:val="6DCF21B6"/>
    <w:rsid w:val="6DD13295"/>
    <w:rsid w:val="6DDC5249"/>
    <w:rsid w:val="6DF43BD4"/>
    <w:rsid w:val="6E0E1FAB"/>
    <w:rsid w:val="6E1D22B5"/>
    <w:rsid w:val="6E2143FB"/>
    <w:rsid w:val="6E2241BE"/>
    <w:rsid w:val="6E235490"/>
    <w:rsid w:val="6E317378"/>
    <w:rsid w:val="6E35795C"/>
    <w:rsid w:val="6E374904"/>
    <w:rsid w:val="6E3C077F"/>
    <w:rsid w:val="6E3E5591"/>
    <w:rsid w:val="6E4215C6"/>
    <w:rsid w:val="6E437F7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BE4B08"/>
    <w:rsid w:val="6EC45F46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15C8"/>
    <w:rsid w:val="6F5F4FCB"/>
    <w:rsid w:val="6F6F14E1"/>
    <w:rsid w:val="6F86160F"/>
    <w:rsid w:val="6F884D8A"/>
    <w:rsid w:val="6F89712B"/>
    <w:rsid w:val="6F983C13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0429F"/>
    <w:rsid w:val="7032079E"/>
    <w:rsid w:val="70375C5A"/>
    <w:rsid w:val="703947D7"/>
    <w:rsid w:val="703C186A"/>
    <w:rsid w:val="70570007"/>
    <w:rsid w:val="705843B4"/>
    <w:rsid w:val="706417AF"/>
    <w:rsid w:val="70655A58"/>
    <w:rsid w:val="707263E0"/>
    <w:rsid w:val="70822A24"/>
    <w:rsid w:val="70822BAD"/>
    <w:rsid w:val="708257A7"/>
    <w:rsid w:val="708746BC"/>
    <w:rsid w:val="708F7F54"/>
    <w:rsid w:val="709E3D85"/>
    <w:rsid w:val="70A36A35"/>
    <w:rsid w:val="70AA32C8"/>
    <w:rsid w:val="70AC660B"/>
    <w:rsid w:val="70AD73C5"/>
    <w:rsid w:val="70B17138"/>
    <w:rsid w:val="70BB2EF0"/>
    <w:rsid w:val="70BC2801"/>
    <w:rsid w:val="70C6646C"/>
    <w:rsid w:val="70D71463"/>
    <w:rsid w:val="70E936CD"/>
    <w:rsid w:val="70EE2F9A"/>
    <w:rsid w:val="70FA6D60"/>
    <w:rsid w:val="70FC2D1E"/>
    <w:rsid w:val="71015D6B"/>
    <w:rsid w:val="71115386"/>
    <w:rsid w:val="71151975"/>
    <w:rsid w:val="71220857"/>
    <w:rsid w:val="71222C53"/>
    <w:rsid w:val="71336A65"/>
    <w:rsid w:val="71477682"/>
    <w:rsid w:val="71545B37"/>
    <w:rsid w:val="71570E43"/>
    <w:rsid w:val="71573E01"/>
    <w:rsid w:val="71702748"/>
    <w:rsid w:val="71862E8D"/>
    <w:rsid w:val="71867894"/>
    <w:rsid w:val="718B0CD8"/>
    <w:rsid w:val="719F7A78"/>
    <w:rsid w:val="71A73EB4"/>
    <w:rsid w:val="71B25E63"/>
    <w:rsid w:val="71B30ACA"/>
    <w:rsid w:val="71B623F6"/>
    <w:rsid w:val="71C7540C"/>
    <w:rsid w:val="71E41366"/>
    <w:rsid w:val="71ED2496"/>
    <w:rsid w:val="71F14FC5"/>
    <w:rsid w:val="71F64A63"/>
    <w:rsid w:val="71F870B8"/>
    <w:rsid w:val="7200001E"/>
    <w:rsid w:val="72021233"/>
    <w:rsid w:val="720B2A1D"/>
    <w:rsid w:val="72147937"/>
    <w:rsid w:val="72175F5D"/>
    <w:rsid w:val="72346B55"/>
    <w:rsid w:val="723959DC"/>
    <w:rsid w:val="723E7E80"/>
    <w:rsid w:val="724B5FB3"/>
    <w:rsid w:val="724C3314"/>
    <w:rsid w:val="72502F9F"/>
    <w:rsid w:val="72514753"/>
    <w:rsid w:val="72524B90"/>
    <w:rsid w:val="725817D3"/>
    <w:rsid w:val="725B3685"/>
    <w:rsid w:val="726E6AD4"/>
    <w:rsid w:val="727C422C"/>
    <w:rsid w:val="727C7861"/>
    <w:rsid w:val="727D5DD0"/>
    <w:rsid w:val="728E71EE"/>
    <w:rsid w:val="7292045A"/>
    <w:rsid w:val="72974DBE"/>
    <w:rsid w:val="72A20C20"/>
    <w:rsid w:val="72AC5E95"/>
    <w:rsid w:val="72B104F9"/>
    <w:rsid w:val="72B81A8A"/>
    <w:rsid w:val="72BD018D"/>
    <w:rsid w:val="72C13ED7"/>
    <w:rsid w:val="72C33F7A"/>
    <w:rsid w:val="72CF1AC7"/>
    <w:rsid w:val="72D61814"/>
    <w:rsid w:val="72E42AFA"/>
    <w:rsid w:val="72E85578"/>
    <w:rsid w:val="72EB4466"/>
    <w:rsid w:val="72F034F4"/>
    <w:rsid w:val="72FD426E"/>
    <w:rsid w:val="73005DAB"/>
    <w:rsid w:val="730162BB"/>
    <w:rsid w:val="730275C0"/>
    <w:rsid w:val="73043CFC"/>
    <w:rsid w:val="731A0595"/>
    <w:rsid w:val="732B736C"/>
    <w:rsid w:val="732C334F"/>
    <w:rsid w:val="73303587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7D6CF9"/>
    <w:rsid w:val="7383627D"/>
    <w:rsid w:val="73856458"/>
    <w:rsid w:val="738A6895"/>
    <w:rsid w:val="73917325"/>
    <w:rsid w:val="7395427D"/>
    <w:rsid w:val="739F1660"/>
    <w:rsid w:val="73B047C3"/>
    <w:rsid w:val="73B62302"/>
    <w:rsid w:val="73BC7089"/>
    <w:rsid w:val="73BE7067"/>
    <w:rsid w:val="73C34124"/>
    <w:rsid w:val="73DC33F5"/>
    <w:rsid w:val="73E406FD"/>
    <w:rsid w:val="73E52294"/>
    <w:rsid w:val="73EC5464"/>
    <w:rsid w:val="73FF2D64"/>
    <w:rsid w:val="740F108B"/>
    <w:rsid w:val="74137154"/>
    <w:rsid w:val="741C7D0C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651C8"/>
    <w:rsid w:val="7467234B"/>
    <w:rsid w:val="746B732F"/>
    <w:rsid w:val="746E18CB"/>
    <w:rsid w:val="746F3904"/>
    <w:rsid w:val="7473071B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B43B2"/>
    <w:rsid w:val="74ED19FF"/>
    <w:rsid w:val="74F747A8"/>
    <w:rsid w:val="75084E8F"/>
    <w:rsid w:val="7509261E"/>
    <w:rsid w:val="750B5416"/>
    <w:rsid w:val="750F16AB"/>
    <w:rsid w:val="75202656"/>
    <w:rsid w:val="752231CE"/>
    <w:rsid w:val="7537255A"/>
    <w:rsid w:val="75396D51"/>
    <w:rsid w:val="75434B0A"/>
    <w:rsid w:val="75581C92"/>
    <w:rsid w:val="75752B04"/>
    <w:rsid w:val="757D3665"/>
    <w:rsid w:val="758910BB"/>
    <w:rsid w:val="75955DA9"/>
    <w:rsid w:val="75977910"/>
    <w:rsid w:val="759C00A8"/>
    <w:rsid w:val="759F2A35"/>
    <w:rsid w:val="75B15C41"/>
    <w:rsid w:val="75CC5191"/>
    <w:rsid w:val="75D12923"/>
    <w:rsid w:val="75E6623C"/>
    <w:rsid w:val="75EA364B"/>
    <w:rsid w:val="75F20996"/>
    <w:rsid w:val="75F93477"/>
    <w:rsid w:val="75F96973"/>
    <w:rsid w:val="75FE5FB4"/>
    <w:rsid w:val="76123E1D"/>
    <w:rsid w:val="761270F3"/>
    <w:rsid w:val="762A17C0"/>
    <w:rsid w:val="762E4274"/>
    <w:rsid w:val="762E6798"/>
    <w:rsid w:val="76387379"/>
    <w:rsid w:val="76425118"/>
    <w:rsid w:val="76473B19"/>
    <w:rsid w:val="7647727C"/>
    <w:rsid w:val="764838B9"/>
    <w:rsid w:val="764B15DA"/>
    <w:rsid w:val="764C09B4"/>
    <w:rsid w:val="764F5A52"/>
    <w:rsid w:val="7651184F"/>
    <w:rsid w:val="765E2788"/>
    <w:rsid w:val="76647980"/>
    <w:rsid w:val="766827E1"/>
    <w:rsid w:val="766A4A0D"/>
    <w:rsid w:val="76725A45"/>
    <w:rsid w:val="767D1978"/>
    <w:rsid w:val="768C454B"/>
    <w:rsid w:val="76910A96"/>
    <w:rsid w:val="7692667A"/>
    <w:rsid w:val="76982273"/>
    <w:rsid w:val="769A7352"/>
    <w:rsid w:val="76A177B8"/>
    <w:rsid w:val="76A562BA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B7E51"/>
    <w:rsid w:val="76EC51FD"/>
    <w:rsid w:val="76F00AAF"/>
    <w:rsid w:val="76F21658"/>
    <w:rsid w:val="76F410B8"/>
    <w:rsid w:val="76F70779"/>
    <w:rsid w:val="770A1659"/>
    <w:rsid w:val="771B67DF"/>
    <w:rsid w:val="77241319"/>
    <w:rsid w:val="77272CAB"/>
    <w:rsid w:val="772C0FCF"/>
    <w:rsid w:val="77335384"/>
    <w:rsid w:val="77451578"/>
    <w:rsid w:val="77537908"/>
    <w:rsid w:val="77571758"/>
    <w:rsid w:val="77576666"/>
    <w:rsid w:val="775871DA"/>
    <w:rsid w:val="77591ED3"/>
    <w:rsid w:val="775C26D4"/>
    <w:rsid w:val="776677F4"/>
    <w:rsid w:val="77692EA3"/>
    <w:rsid w:val="776C305B"/>
    <w:rsid w:val="777E00B2"/>
    <w:rsid w:val="77825248"/>
    <w:rsid w:val="7785098B"/>
    <w:rsid w:val="77870D91"/>
    <w:rsid w:val="778A3229"/>
    <w:rsid w:val="779258CC"/>
    <w:rsid w:val="7794068F"/>
    <w:rsid w:val="779A096B"/>
    <w:rsid w:val="779B52FF"/>
    <w:rsid w:val="779D1A75"/>
    <w:rsid w:val="77A00E75"/>
    <w:rsid w:val="77A30552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077B5A"/>
    <w:rsid w:val="782127F0"/>
    <w:rsid w:val="78271E5B"/>
    <w:rsid w:val="783201C2"/>
    <w:rsid w:val="7833711D"/>
    <w:rsid w:val="78460D63"/>
    <w:rsid w:val="78497C2E"/>
    <w:rsid w:val="78502D35"/>
    <w:rsid w:val="785051F3"/>
    <w:rsid w:val="7854087B"/>
    <w:rsid w:val="786A4053"/>
    <w:rsid w:val="78782A0D"/>
    <w:rsid w:val="78785A2F"/>
    <w:rsid w:val="787B5060"/>
    <w:rsid w:val="787E0EB9"/>
    <w:rsid w:val="788720E7"/>
    <w:rsid w:val="789B58CF"/>
    <w:rsid w:val="78A90B04"/>
    <w:rsid w:val="78AE4507"/>
    <w:rsid w:val="78C26D70"/>
    <w:rsid w:val="78C53485"/>
    <w:rsid w:val="78C6693F"/>
    <w:rsid w:val="78C76A01"/>
    <w:rsid w:val="78D508BC"/>
    <w:rsid w:val="78D6764B"/>
    <w:rsid w:val="78DF3BEC"/>
    <w:rsid w:val="78EC45D8"/>
    <w:rsid w:val="78EC6DF0"/>
    <w:rsid w:val="78F5335B"/>
    <w:rsid w:val="790E39D2"/>
    <w:rsid w:val="791843E7"/>
    <w:rsid w:val="791D5841"/>
    <w:rsid w:val="79233426"/>
    <w:rsid w:val="79260F03"/>
    <w:rsid w:val="79381C6E"/>
    <w:rsid w:val="79395A92"/>
    <w:rsid w:val="793C2872"/>
    <w:rsid w:val="793E15F9"/>
    <w:rsid w:val="793E57C2"/>
    <w:rsid w:val="794008FB"/>
    <w:rsid w:val="794708D9"/>
    <w:rsid w:val="794B21A1"/>
    <w:rsid w:val="794C0A87"/>
    <w:rsid w:val="794E2CE6"/>
    <w:rsid w:val="795D3E92"/>
    <w:rsid w:val="7964574A"/>
    <w:rsid w:val="796D45D2"/>
    <w:rsid w:val="79804706"/>
    <w:rsid w:val="79807AE3"/>
    <w:rsid w:val="7988227D"/>
    <w:rsid w:val="79941CF2"/>
    <w:rsid w:val="79973382"/>
    <w:rsid w:val="79B03E5E"/>
    <w:rsid w:val="79B4353E"/>
    <w:rsid w:val="79BB4445"/>
    <w:rsid w:val="79D33056"/>
    <w:rsid w:val="79D715DF"/>
    <w:rsid w:val="79E14685"/>
    <w:rsid w:val="79EC0256"/>
    <w:rsid w:val="79F60153"/>
    <w:rsid w:val="79F84570"/>
    <w:rsid w:val="79FA77AD"/>
    <w:rsid w:val="79FB6E2C"/>
    <w:rsid w:val="7A0E2780"/>
    <w:rsid w:val="7A29263F"/>
    <w:rsid w:val="7A36322F"/>
    <w:rsid w:val="7A4B21AB"/>
    <w:rsid w:val="7A4C2D60"/>
    <w:rsid w:val="7A4E5365"/>
    <w:rsid w:val="7A5C5095"/>
    <w:rsid w:val="7A5E0869"/>
    <w:rsid w:val="7A620F06"/>
    <w:rsid w:val="7A6E4BF5"/>
    <w:rsid w:val="7A78261A"/>
    <w:rsid w:val="7A851D5D"/>
    <w:rsid w:val="7A8A2267"/>
    <w:rsid w:val="7AA5314C"/>
    <w:rsid w:val="7AAF50F0"/>
    <w:rsid w:val="7AB53126"/>
    <w:rsid w:val="7AB76FE8"/>
    <w:rsid w:val="7AC06271"/>
    <w:rsid w:val="7AC73DFD"/>
    <w:rsid w:val="7AD268E2"/>
    <w:rsid w:val="7ADC0B33"/>
    <w:rsid w:val="7ADF72B5"/>
    <w:rsid w:val="7AE14C19"/>
    <w:rsid w:val="7AEA174E"/>
    <w:rsid w:val="7AF1626C"/>
    <w:rsid w:val="7B231500"/>
    <w:rsid w:val="7B274176"/>
    <w:rsid w:val="7B276F1B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940DC"/>
    <w:rsid w:val="7B8A4A8A"/>
    <w:rsid w:val="7B99266D"/>
    <w:rsid w:val="7BA54136"/>
    <w:rsid w:val="7BAA485C"/>
    <w:rsid w:val="7BAD1591"/>
    <w:rsid w:val="7BC04B6A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15ED2"/>
    <w:rsid w:val="7C8A7CDC"/>
    <w:rsid w:val="7C9E5A24"/>
    <w:rsid w:val="7C9F7EC8"/>
    <w:rsid w:val="7CB4006B"/>
    <w:rsid w:val="7CB93ABB"/>
    <w:rsid w:val="7CBB6FD3"/>
    <w:rsid w:val="7CE656F0"/>
    <w:rsid w:val="7CED34FF"/>
    <w:rsid w:val="7CEE5458"/>
    <w:rsid w:val="7CF26588"/>
    <w:rsid w:val="7CF5005A"/>
    <w:rsid w:val="7CF565D7"/>
    <w:rsid w:val="7CFA3A46"/>
    <w:rsid w:val="7D0C38B8"/>
    <w:rsid w:val="7D0F5720"/>
    <w:rsid w:val="7D1F2914"/>
    <w:rsid w:val="7D2058C7"/>
    <w:rsid w:val="7D2C6680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7D4E70"/>
    <w:rsid w:val="7D834A16"/>
    <w:rsid w:val="7D9D0A97"/>
    <w:rsid w:val="7D9D438F"/>
    <w:rsid w:val="7D9F5025"/>
    <w:rsid w:val="7DA514D2"/>
    <w:rsid w:val="7DA93224"/>
    <w:rsid w:val="7DBE6FBE"/>
    <w:rsid w:val="7DC51C1A"/>
    <w:rsid w:val="7DCD1A27"/>
    <w:rsid w:val="7DCD4739"/>
    <w:rsid w:val="7DCD4EB5"/>
    <w:rsid w:val="7DEC4723"/>
    <w:rsid w:val="7DFD4B87"/>
    <w:rsid w:val="7E090313"/>
    <w:rsid w:val="7E105142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BC7B69"/>
    <w:rsid w:val="7ECA4601"/>
    <w:rsid w:val="7ED07608"/>
    <w:rsid w:val="7EDC22AD"/>
    <w:rsid w:val="7EDE4C34"/>
    <w:rsid w:val="7EE34086"/>
    <w:rsid w:val="7EE5313E"/>
    <w:rsid w:val="7EE55F89"/>
    <w:rsid w:val="7EEB5719"/>
    <w:rsid w:val="7EF215E8"/>
    <w:rsid w:val="7EF525E1"/>
    <w:rsid w:val="7EF74FC9"/>
    <w:rsid w:val="7EFB0D19"/>
    <w:rsid w:val="7EFF7828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15141"/>
    <w:rsid w:val="7F872588"/>
    <w:rsid w:val="7F8725BA"/>
    <w:rsid w:val="7F8C6A8F"/>
    <w:rsid w:val="7F9C175D"/>
    <w:rsid w:val="7FA85877"/>
    <w:rsid w:val="7FAB3A81"/>
    <w:rsid w:val="7FBA1144"/>
    <w:rsid w:val="7FBE43E0"/>
    <w:rsid w:val="7FCB6843"/>
    <w:rsid w:val="7FD616A1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4</TotalTime>
  <ScaleCrop>false</ScaleCrop>
  <LinksUpToDate>false</LinksUpToDate>
  <CharactersWithSpaces>4041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2024-05-13T08:33:14Z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E102423C73CA46FFA48E143AA0DF1C26</vt:lpwstr>
  </property>
</Properties>
</file>